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79693C" w14:textId="77777777" w:rsidR="003B4DB1" w:rsidRDefault="003B4DB1" w:rsidP="00C35B96">
      <w:pPr>
        <w:spacing w:after="0" w:line="240" w:lineRule="auto"/>
        <w:jc w:val="both"/>
        <w:rPr>
          <w:rFonts w:eastAsia="Calibri" w:cs="Tahoma"/>
          <w:sz w:val="26"/>
          <w:szCs w:val="26"/>
        </w:rPr>
      </w:pPr>
    </w:p>
    <w:p w14:paraId="22A7F368" w14:textId="77777777" w:rsidR="003B4DB1" w:rsidRDefault="003B4DB1" w:rsidP="00C35B96">
      <w:pPr>
        <w:spacing w:after="0" w:line="240" w:lineRule="auto"/>
        <w:jc w:val="both"/>
        <w:rPr>
          <w:rFonts w:eastAsia="Calibri" w:cs="Tahoma"/>
          <w:sz w:val="26"/>
          <w:szCs w:val="26"/>
        </w:rPr>
      </w:pPr>
    </w:p>
    <w:p w14:paraId="358A3845" w14:textId="77777777" w:rsidR="00C35B96" w:rsidRDefault="00C35B96" w:rsidP="00C35B96">
      <w:pPr>
        <w:pStyle w:val="Header"/>
        <w:rPr>
          <w:b/>
          <w:bCs/>
          <w:sz w:val="26"/>
          <w:szCs w:val="26"/>
        </w:rPr>
      </w:pPr>
    </w:p>
    <w:p w14:paraId="3E6F36EA" w14:textId="77777777" w:rsidR="00C35B96" w:rsidRPr="00C35B96" w:rsidRDefault="00C35B96" w:rsidP="00C35B96">
      <w:pPr>
        <w:pStyle w:val="Header"/>
        <w:rPr>
          <w:b/>
          <w:bCs/>
          <w:szCs w:val="25"/>
        </w:rPr>
      </w:pPr>
    </w:p>
    <w:p w14:paraId="7963E9FF" w14:textId="129D7A73" w:rsidR="00C35B96" w:rsidRPr="00C35B96" w:rsidRDefault="00C35B96" w:rsidP="00C35B96">
      <w:pPr>
        <w:pStyle w:val="Header"/>
        <w:rPr>
          <w:b/>
          <w:bCs/>
          <w:szCs w:val="25"/>
        </w:rPr>
      </w:pPr>
      <w:r w:rsidRPr="00C35B96">
        <w:rPr>
          <w:b/>
          <w:bCs/>
          <w:szCs w:val="25"/>
        </w:rPr>
        <w:t>CO-OP BANK REPORTS A STRONG 17.3 PER CENT GROWTH IN PROFIT TO KSH 23.1 BILLION FOR H1 2026</w:t>
      </w:r>
    </w:p>
    <w:p w14:paraId="5196CF86" w14:textId="77777777" w:rsidR="00C35B96" w:rsidRPr="00C35B96" w:rsidRDefault="00C35B96" w:rsidP="00C35B96">
      <w:pPr>
        <w:spacing w:after="0" w:line="240" w:lineRule="auto"/>
        <w:jc w:val="both"/>
        <w:rPr>
          <w:rFonts w:eastAsia="Calibri" w:cs="Tahoma"/>
          <w:szCs w:val="25"/>
        </w:rPr>
      </w:pPr>
    </w:p>
    <w:p w14:paraId="33A91A54" w14:textId="77777777" w:rsidR="00C35B96" w:rsidRPr="00C35B96" w:rsidRDefault="00C35B96" w:rsidP="003B4DB1">
      <w:pPr>
        <w:pBdr>
          <w:top w:val="single" w:sz="4" w:space="1" w:color="A6A6A6" w:themeColor="background1" w:themeShade="A6"/>
        </w:pBdr>
        <w:spacing w:after="0" w:line="240" w:lineRule="auto"/>
        <w:jc w:val="both"/>
        <w:rPr>
          <w:rFonts w:eastAsia="Calibri" w:cs="Tahoma"/>
          <w:szCs w:val="25"/>
        </w:rPr>
      </w:pPr>
    </w:p>
    <w:p w14:paraId="0D278923" w14:textId="21A4359A" w:rsidR="00766F84" w:rsidRPr="00C35B96" w:rsidRDefault="00B84264" w:rsidP="003B4DB1">
      <w:pPr>
        <w:pBdr>
          <w:top w:val="single" w:sz="4" w:space="1" w:color="A6A6A6" w:themeColor="background1" w:themeShade="A6"/>
        </w:pBdr>
        <w:spacing w:after="0" w:line="240" w:lineRule="auto"/>
        <w:jc w:val="both"/>
        <w:rPr>
          <w:rFonts w:eastAsia="Calibri" w:cs="Tahoma"/>
          <w:szCs w:val="25"/>
        </w:rPr>
      </w:pPr>
      <w:r w:rsidRPr="00C35B96">
        <w:rPr>
          <w:rFonts w:eastAsia="Calibri" w:cs="Tahoma"/>
          <w:szCs w:val="25"/>
        </w:rPr>
        <w:t xml:space="preserve">Co-op Bank has posted a strong Profit Before Tax of </w:t>
      </w:r>
      <w:proofErr w:type="spellStart"/>
      <w:r w:rsidRPr="00C35B96">
        <w:rPr>
          <w:rFonts w:eastAsia="Calibri" w:cs="Tahoma"/>
          <w:b/>
          <w:bCs/>
          <w:szCs w:val="25"/>
        </w:rPr>
        <w:t>KSh</w:t>
      </w:r>
      <w:proofErr w:type="spellEnd"/>
      <w:r w:rsidRPr="00C35B96">
        <w:rPr>
          <w:rFonts w:eastAsia="Calibri" w:cs="Tahoma"/>
          <w:b/>
          <w:bCs/>
          <w:szCs w:val="25"/>
        </w:rPr>
        <w:t xml:space="preserve"> 23.1 billion</w:t>
      </w:r>
      <w:r w:rsidRPr="00C35B96">
        <w:rPr>
          <w:rFonts w:eastAsia="Calibri" w:cs="Tahoma"/>
          <w:szCs w:val="25"/>
        </w:rPr>
        <w:t xml:space="preserve"> for the half year ended 30 June 2026, compared to </w:t>
      </w:r>
      <w:proofErr w:type="spellStart"/>
      <w:r w:rsidRPr="00C35B96">
        <w:rPr>
          <w:rFonts w:eastAsia="Calibri" w:cs="Tahoma"/>
          <w:szCs w:val="25"/>
        </w:rPr>
        <w:t>KSh</w:t>
      </w:r>
      <w:proofErr w:type="spellEnd"/>
      <w:r w:rsidRPr="00C35B96">
        <w:rPr>
          <w:rFonts w:eastAsia="Calibri" w:cs="Tahoma"/>
          <w:szCs w:val="25"/>
        </w:rPr>
        <w:t xml:space="preserve"> 19.7 billion recorded in the same period in 2025, an impressive </w:t>
      </w:r>
      <w:r w:rsidRPr="00C35B96">
        <w:rPr>
          <w:rFonts w:eastAsia="Calibri" w:cs="Tahoma"/>
          <w:b/>
          <w:bCs/>
          <w:szCs w:val="25"/>
        </w:rPr>
        <w:t>17.3</w:t>
      </w:r>
      <w:r w:rsidR="003512D6" w:rsidRPr="00C35B96">
        <w:rPr>
          <w:rFonts w:eastAsia="Calibri" w:cs="Tahoma"/>
          <w:b/>
          <w:bCs/>
          <w:szCs w:val="25"/>
        </w:rPr>
        <w:t xml:space="preserve"> per cent</w:t>
      </w:r>
      <w:r w:rsidRPr="00C35B96">
        <w:rPr>
          <w:rFonts w:eastAsia="Calibri" w:cs="Tahoma"/>
          <w:szCs w:val="25"/>
        </w:rPr>
        <w:t xml:space="preserve"> growth. Profit After Tax grew by </w:t>
      </w:r>
      <w:r w:rsidR="003512D6" w:rsidRPr="00C35B96">
        <w:rPr>
          <w:rFonts w:eastAsia="Calibri" w:cs="Tahoma"/>
          <w:szCs w:val="25"/>
        </w:rPr>
        <w:t xml:space="preserve">a strong </w:t>
      </w:r>
      <w:r w:rsidRPr="00C35B96">
        <w:rPr>
          <w:rFonts w:eastAsia="Calibri" w:cs="Tahoma"/>
          <w:szCs w:val="25"/>
        </w:rPr>
        <w:t>28.0</w:t>
      </w:r>
      <w:r w:rsidR="003512D6" w:rsidRPr="00C35B96">
        <w:rPr>
          <w:rFonts w:eastAsia="Calibri" w:cs="Tahoma"/>
          <w:szCs w:val="25"/>
        </w:rPr>
        <w:t xml:space="preserve"> per cent </w:t>
      </w:r>
      <w:r w:rsidRPr="00C35B96">
        <w:rPr>
          <w:rFonts w:eastAsia="Calibri" w:cs="Tahoma"/>
          <w:szCs w:val="25"/>
        </w:rPr>
        <w:t xml:space="preserve">to </w:t>
      </w:r>
      <w:proofErr w:type="spellStart"/>
      <w:r w:rsidRPr="00C35B96">
        <w:rPr>
          <w:rFonts w:eastAsia="Calibri" w:cs="Tahoma"/>
          <w:b/>
          <w:bCs/>
          <w:szCs w:val="25"/>
        </w:rPr>
        <w:t>KSh</w:t>
      </w:r>
      <w:proofErr w:type="spellEnd"/>
      <w:r w:rsidRPr="00C35B96">
        <w:rPr>
          <w:rFonts w:eastAsia="Calibri" w:cs="Tahoma"/>
          <w:b/>
          <w:bCs/>
          <w:szCs w:val="25"/>
        </w:rPr>
        <w:t xml:space="preserve"> 18.0 billion</w:t>
      </w:r>
      <w:r w:rsidRPr="00C35B96">
        <w:rPr>
          <w:rFonts w:eastAsia="Calibri" w:cs="Tahoma"/>
          <w:szCs w:val="25"/>
        </w:rPr>
        <w:t xml:space="preserve"> from </w:t>
      </w:r>
      <w:proofErr w:type="spellStart"/>
      <w:r w:rsidRPr="00C35B96">
        <w:rPr>
          <w:rFonts w:eastAsia="Calibri" w:cs="Tahoma"/>
          <w:szCs w:val="25"/>
        </w:rPr>
        <w:t>KSh</w:t>
      </w:r>
      <w:proofErr w:type="spellEnd"/>
      <w:r w:rsidRPr="00C35B96">
        <w:rPr>
          <w:rFonts w:eastAsia="Calibri" w:cs="Tahoma"/>
          <w:szCs w:val="25"/>
        </w:rPr>
        <w:t xml:space="preserve"> 14.1 billion in H1 2025.</w:t>
      </w:r>
    </w:p>
    <w:p w14:paraId="481D3C3F" w14:textId="77777777" w:rsidR="003512D6" w:rsidRPr="00C35B96" w:rsidRDefault="003512D6" w:rsidP="003512D6">
      <w:pPr>
        <w:spacing w:after="0" w:line="240" w:lineRule="auto"/>
        <w:jc w:val="both"/>
        <w:rPr>
          <w:rFonts w:eastAsia="Calibri" w:cs="Tahoma"/>
          <w:szCs w:val="25"/>
        </w:rPr>
      </w:pPr>
    </w:p>
    <w:p w14:paraId="40C4B82A" w14:textId="30D12CF6" w:rsidR="00766F84" w:rsidRPr="00C35B96" w:rsidRDefault="00B84264" w:rsidP="003512D6">
      <w:pPr>
        <w:pBdr>
          <w:bottom w:val="single" w:sz="4" w:space="1" w:color="auto"/>
        </w:pBdr>
        <w:spacing w:after="0" w:line="240" w:lineRule="auto"/>
        <w:jc w:val="both"/>
        <w:rPr>
          <w:rFonts w:eastAsia="Calibri" w:cs="Tahoma"/>
          <w:szCs w:val="25"/>
        </w:rPr>
      </w:pPr>
      <w:r w:rsidRPr="004D594A">
        <w:rPr>
          <w:rFonts w:eastAsia="Calibri" w:cs="Tahoma"/>
          <w:szCs w:val="25"/>
          <w:highlight w:val="darkGreen"/>
        </w:rPr>
        <w:t xml:space="preserve">This </w:t>
      </w:r>
      <w:r w:rsidR="00F13893" w:rsidRPr="004D594A">
        <w:rPr>
          <w:rFonts w:eastAsia="Calibri" w:cs="Tahoma"/>
          <w:szCs w:val="25"/>
          <w:highlight w:val="darkGreen"/>
        </w:rPr>
        <w:t xml:space="preserve">is the BEST EVER half year performance for the Group and the </w:t>
      </w:r>
      <w:r w:rsidRPr="004D594A">
        <w:rPr>
          <w:rFonts w:eastAsia="Calibri" w:cs="Tahoma"/>
          <w:szCs w:val="25"/>
          <w:highlight w:val="darkGreen"/>
        </w:rPr>
        <w:t xml:space="preserve">strong performance underscores the significant gains made under the </w:t>
      </w:r>
      <w:r w:rsidRPr="004D594A">
        <w:rPr>
          <w:rFonts w:eastAsia="Calibri" w:cs="Tahoma"/>
          <w:b/>
          <w:bCs/>
          <w:szCs w:val="25"/>
          <w:highlight w:val="darkGreen"/>
        </w:rPr>
        <w:t xml:space="preserve">2025-2029 Good to Great Strategy </w:t>
      </w:r>
      <w:r w:rsidRPr="004D594A">
        <w:rPr>
          <w:rFonts w:eastAsia="Calibri" w:cs="Tahoma"/>
          <w:szCs w:val="25"/>
          <w:highlight w:val="darkGreen"/>
        </w:rPr>
        <w:t>and the</w:t>
      </w:r>
      <w:r w:rsidRPr="004D594A">
        <w:rPr>
          <w:rFonts w:eastAsia="Calibri" w:cs="Tahoma"/>
          <w:b/>
          <w:bCs/>
          <w:szCs w:val="25"/>
          <w:highlight w:val="darkGreen"/>
        </w:rPr>
        <w:t xml:space="preserve"> “Soaring Eagle” Transformation Agenda</w:t>
      </w:r>
      <w:r w:rsidRPr="004D594A">
        <w:rPr>
          <w:rFonts w:eastAsia="Calibri" w:cs="Tahoma"/>
          <w:szCs w:val="25"/>
          <w:highlight w:val="darkGreen"/>
        </w:rPr>
        <w:t>.</w:t>
      </w:r>
    </w:p>
    <w:p w14:paraId="57F54512" w14:textId="77777777" w:rsidR="003512D6" w:rsidRPr="00C35B96" w:rsidRDefault="003512D6" w:rsidP="003512D6">
      <w:pPr>
        <w:pBdr>
          <w:bottom w:val="single" w:sz="4" w:space="1" w:color="auto"/>
        </w:pBdr>
        <w:spacing w:after="0" w:line="240" w:lineRule="auto"/>
        <w:jc w:val="both"/>
        <w:rPr>
          <w:rFonts w:eastAsia="Calibri" w:cs="Tahoma"/>
          <w:szCs w:val="25"/>
        </w:rPr>
      </w:pPr>
    </w:p>
    <w:p w14:paraId="27A9EFED" w14:textId="77777777" w:rsidR="00766F84" w:rsidRPr="00C35B96" w:rsidRDefault="00766F84" w:rsidP="003512D6">
      <w:pPr>
        <w:spacing w:after="0" w:line="240" w:lineRule="auto"/>
        <w:jc w:val="both"/>
        <w:rPr>
          <w:rFonts w:eastAsia="Calibri" w:cs="Tahoma"/>
          <w:szCs w:val="25"/>
        </w:rPr>
      </w:pPr>
    </w:p>
    <w:p w14:paraId="3D662A32" w14:textId="77777777" w:rsidR="00766F84" w:rsidRPr="00C35B96" w:rsidRDefault="00B84264" w:rsidP="003512D6">
      <w:pPr>
        <w:spacing w:after="0" w:line="240" w:lineRule="auto"/>
        <w:jc w:val="both"/>
        <w:rPr>
          <w:rFonts w:eastAsia="Calibri" w:cs="Tahoma"/>
          <w:b/>
          <w:bCs/>
          <w:szCs w:val="25"/>
        </w:rPr>
      </w:pPr>
      <w:r w:rsidRPr="00C35B96">
        <w:rPr>
          <w:rFonts w:eastAsia="Calibri" w:cs="Tahoma"/>
          <w:b/>
          <w:bCs/>
          <w:szCs w:val="25"/>
        </w:rPr>
        <w:t>Highlights of H1 2026 Performance</w:t>
      </w:r>
    </w:p>
    <w:p w14:paraId="148E3903" w14:textId="77777777" w:rsidR="00CE6FFE" w:rsidRPr="00C35B96" w:rsidRDefault="00CE6FFE" w:rsidP="003512D6">
      <w:pPr>
        <w:spacing w:after="0" w:line="240" w:lineRule="auto"/>
        <w:jc w:val="both"/>
        <w:rPr>
          <w:rFonts w:eastAsia="Calibri" w:cs="Tahoma"/>
          <w:b/>
          <w:bCs/>
          <w:szCs w:val="25"/>
        </w:rPr>
      </w:pPr>
    </w:p>
    <w:p w14:paraId="136D8480" w14:textId="23194AB0" w:rsidR="00766F84" w:rsidRPr="00C35B96" w:rsidRDefault="00B84264" w:rsidP="003512D6">
      <w:pPr>
        <w:pStyle w:val="ListParagraph"/>
        <w:numPr>
          <w:ilvl w:val="0"/>
          <w:numId w:val="26"/>
        </w:numPr>
        <w:spacing w:after="0" w:line="240" w:lineRule="auto"/>
        <w:jc w:val="both"/>
        <w:rPr>
          <w:rFonts w:eastAsia="Calibri" w:cs="Tahoma"/>
          <w:szCs w:val="25"/>
        </w:rPr>
      </w:pPr>
      <w:r w:rsidRPr="00C35B96">
        <w:rPr>
          <w:rFonts w:eastAsia="Calibri" w:cs="Tahoma"/>
          <w:b/>
          <w:bCs/>
          <w:szCs w:val="25"/>
        </w:rPr>
        <w:t>Return on Average Equity</w:t>
      </w:r>
      <w:r w:rsidRPr="00C35B96">
        <w:rPr>
          <w:rFonts w:eastAsia="Calibri" w:cs="Tahoma"/>
          <w:szCs w:val="25"/>
        </w:rPr>
        <w:t xml:space="preserve"> stood at 22.0</w:t>
      </w:r>
      <w:r w:rsidR="003512D6" w:rsidRPr="00C35B96">
        <w:rPr>
          <w:rFonts w:eastAsia="Calibri" w:cs="Tahoma"/>
          <w:szCs w:val="25"/>
        </w:rPr>
        <w:t xml:space="preserve"> per cent</w:t>
      </w:r>
      <w:r w:rsidRPr="00C35B96">
        <w:rPr>
          <w:rFonts w:eastAsia="Calibri" w:cs="Tahoma"/>
          <w:szCs w:val="25"/>
        </w:rPr>
        <w:t>, reflecting sustained value creation for shareholders.</w:t>
      </w:r>
    </w:p>
    <w:p w14:paraId="0FCB3EA4" w14:textId="77777777" w:rsidR="00CE6FFE" w:rsidRPr="00C35B96" w:rsidRDefault="00CE6FFE" w:rsidP="00CE6FFE">
      <w:pPr>
        <w:pStyle w:val="ListParagraph"/>
        <w:spacing w:after="0" w:line="240" w:lineRule="auto"/>
        <w:jc w:val="both"/>
        <w:rPr>
          <w:rFonts w:eastAsia="Calibri" w:cs="Tahoma"/>
          <w:szCs w:val="25"/>
        </w:rPr>
      </w:pPr>
    </w:p>
    <w:p w14:paraId="6B80EF26" w14:textId="18357650"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Return on Average Assets</w:t>
      </w:r>
      <w:r w:rsidRPr="00CE6FFE">
        <w:rPr>
          <w:rFonts w:eastAsia="Calibri" w:cs="Tahoma"/>
          <w:szCs w:val="25"/>
        </w:rPr>
        <w:t xml:space="preserve"> improved to 4.3</w:t>
      </w:r>
      <w:r w:rsidR="003512D6" w:rsidRPr="00CE6FFE">
        <w:rPr>
          <w:rFonts w:eastAsia="Calibri" w:cs="Tahoma"/>
          <w:szCs w:val="25"/>
        </w:rPr>
        <w:t xml:space="preserve"> per cent</w:t>
      </w:r>
      <w:r w:rsidRPr="00CE6FFE">
        <w:rPr>
          <w:rFonts w:eastAsia="Calibri" w:cs="Tahoma"/>
          <w:szCs w:val="25"/>
        </w:rPr>
        <w:t>, compared to 3.7</w:t>
      </w:r>
      <w:r w:rsidR="003512D6" w:rsidRPr="00CE6FFE">
        <w:rPr>
          <w:rFonts w:eastAsia="Calibri" w:cs="Tahoma"/>
          <w:szCs w:val="25"/>
        </w:rPr>
        <w:t xml:space="preserve"> per cent</w:t>
      </w:r>
      <w:r w:rsidRPr="00CE6FFE">
        <w:rPr>
          <w:rFonts w:eastAsia="Calibri" w:cs="Tahoma"/>
          <w:szCs w:val="25"/>
        </w:rPr>
        <w:t xml:space="preserve"> in H1 2025.</w:t>
      </w:r>
    </w:p>
    <w:p w14:paraId="2A36AAFF" w14:textId="77777777" w:rsidR="00CE6FFE" w:rsidRPr="00CE6FFE" w:rsidRDefault="00CE6FFE" w:rsidP="00CE6FFE">
      <w:pPr>
        <w:pStyle w:val="ListParagraph"/>
        <w:rPr>
          <w:rFonts w:eastAsia="Calibri" w:cs="Tahoma"/>
          <w:szCs w:val="25"/>
        </w:rPr>
      </w:pPr>
    </w:p>
    <w:p w14:paraId="4C637E0A" w14:textId="63BB122F"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Total Assets</w:t>
      </w:r>
      <w:r w:rsidRPr="00CE6FFE">
        <w:rPr>
          <w:rFonts w:eastAsia="Calibri" w:cs="Tahoma"/>
          <w:szCs w:val="25"/>
        </w:rPr>
        <w:t xml:space="preserve"> increased by 7.1</w:t>
      </w:r>
      <w:r w:rsidR="003512D6" w:rsidRPr="00CE6FFE">
        <w:rPr>
          <w:rFonts w:eastAsia="Calibri" w:cs="Tahoma"/>
          <w:szCs w:val="25"/>
        </w:rPr>
        <w:t xml:space="preserve"> per cent</w:t>
      </w:r>
      <w:r w:rsidRPr="00CE6FFE">
        <w:rPr>
          <w:rFonts w:eastAsia="Calibri" w:cs="Tahoma"/>
          <w:szCs w:val="25"/>
        </w:rPr>
        <w:t xml:space="preserve"> to </w:t>
      </w:r>
      <w:proofErr w:type="spellStart"/>
      <w:r w:rsidRPr="00CE6FFE">
        <w:rPr>
          <w:rFonts w:eastAsia="Calibri" w:cs="Tahoma"/>
          <w:szCs w:val="25"/>
        </w:rPr>
        <w:t>KSh</w:t>
      </w:r>
      <w:proofErr w:type="spellEnd"/>
      <w:r w:rsidRPr="00CE6FFE">
        <w:rPr>
          <w:rFonts w:eastAsia="Calibri" w:cs="Tahoma"/>
          <w:szCs w:val="25"/>
        </w:rPr>
        <w:t xml:space="preserve"> 869.5 billion, from </w:t>
      </w:r>
      <w:proofErr w:type="spellStart"/>
      <w:r w:rsidRPr="00CE6FFE">
        <w:rPr>
          <w:rFonts w:eastAsia="Calibri" w:cs="Tahoma"/>
          <w:szCs w:val="25"/>
        </w:rPr>
        <w:t>KSh</w:t>
      </w:r>
      <w:proofErr w:type="spellEnd"/>
      <w:r w:rsidRPr="00CE6FFE">
        <w:rPr>
          <w:rFonts w:eastAsia="Calibri" w:cs="Tahoma"/>
          <w:szCs w:val="25"/>
        </w:rPr>
        <w:t xml:space="preserve"> 811.9 billion in H1 2025.</w:t>
      </w:r>
    </w:p>
    <w:p w14:paraId="5966ABC9" w14:textId="77777777" w:rsidR="00CE6FFE" w:rsidRPr="00CE6FFE" w:rsidRDefault="00CE6FFE" w:rsidP="00CE6FFE">
      <w:pPr>
        <w:pStyle w:val="ListParagraph"/>
        <w:rPr>
          <w:rFonts w:eastAsia="Calibri" w:cs="Tahoma"/>
          <w:szCs w:val="25"/>
        </w:rPr>
      </w:pPr>
    </w:p>
    <w:p w14:paraId="2D453CFB" w14:textId="77777777" w:rsidR="00CE6FFE" w:rsidRPr="00CE6FFE" w:rsidRDefault="002F0740"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Total</w:t>
      </w:r>
      <w:r w:rsidR="00B84264" w:rsidRPr="00CE6FFE">
        <w:rPr>
          <w:rFonts w:eastAsia="Calibri" w:cs="Tahoma"/>
          <w:b/>
          <w:bCs/>
          <w:szCs w:val="25"/>
        </w:rPr>
        <w:t xml:space="preserve"> Deposits</w:t>
      </w:r>
      <w:r w:rsidR="00B84264" w:rsidRPr="00CE6FFE">
        <w:rPr>
          <w:rFonts w:eastAsia="Calibri" w:cs="Tahoma"/>
          <w:szCs w:val="25"/>
        </w:rPr>
        <w:t xml:space="preserve"> grew by 11.2</w:t>
      </w:r>
      <w:r w:rsidR="003512D6" w:rsidRPr="00CE6FFE">
        <w:rPr>
          <w:rFonts w:eastAsia="Calibri" w:cs="Tahoma"/>
          <w:szCs w:val="25"/>
        </w:rPr>
        <w:t xml:space="preserve"> per cent</w:t>
      </w:r>
      <w:r w:rsidR="00B84264" w:rsidRPr="00CE6FFE">
        <w:rPr>
          <w:rFonts w:eastAsia="Calibri" w:cs="Tahoma"/>
          <w:szCs w:val="25"/>
        </w:rPr>
        <w:t xml:space="preserve"> to </w:t>
      </w:r>
      <w:proofErr w:type="spellStart"/>
      <w:r w:rsidR="00B84264" w:rsidRPr="00CE6FFE">
        <w:rPr>
          <w:rFonts w:eastAsia="Calibri" w:cs="Tahoma"/>
          <w:szCs w:val="25"/>
        </w:rPr>
        <w:t>KSh</w:t>
      </w:r>
      <w:proofErr w:type="spellEnd"/>
      <w:r w:rsidR="00B84264" w:rsidRPr="00CE6FFE">
        <w:rPr>
          <w:rFonts w:eastAsia="Calibri" w:cs="Tahoma"/>
          <w:szCs w:val="25"/>
        </w:rPr>
        <w:t xml:space="preserve"> 623.2 billion, while net loans and advances increased by 18.1</w:t>
      </w:r>
      <w:r w:rsidR="003512D6" w:rsidRPr="00CE6FFE">
        <w:rPr>
          <w:rFonts w:eastAsia="Calibri" w:cs="Tahoma"/>
          <w:szCs w:val="25"/>
        </w:rPr>
        <w:t xml:space="preserve"> per cent</w:t>
      </w:r>
      <w:r w:rsidR="00B84264" w:rsidRPr="00CE6FFE">
        <w:rPr>
          <w:rFonts w:eastAsia="Calibri" w:cs="Tahoma"/>
          <w:szCs w:val="25"/>
        </w:rPr>
        <w:t xml:space="preserve"> to </w:t>
      </w:r>
      <w:proofErr w:type="spellStart"/>
      <w:r w:rsidR="00B84264" w:rsidRPr="00CE6FFE">
        <w:rPr>
          <w:rFonts w:eastAsia="Calibri" w:cs="Tahoma"/>
          <w:szCs w:val="25"/>
        </w:rPr>
        <w:t>KSh</w:t>
      </w:r>
      <w:proofErr w:type="spellEnd"/>
      <w:r w:rsidR="00B84264" w:rsidRPr="00CE6FFE">
        <w:rPr>
          <w:rFonts w:eastAsia="Calibri" w:cs="Tahoma"/>
          <w:szCs w:val="25"/>
        </w:rPr>
        <w:t xml:space="preserve"> 462.2 billion.</w:t>
      </w:r>
    </w:p>
    <w:p w14:paraId="54413922" w14:textId="77777777" w:rsidR="00CE6FFE" w:rsidRPr="00CE6FFE" w:rsidRDefault="00CE6FFE" w:rsidP="00CE6FFE">
      <w:pPr>
        <w:pStyle w:val="ListParagraph"/>
        <w:rPr>
          <w:rFonts w:eastAsia="Calibri" w:cs="Tahoma"/>
          <w:b/>
          <w:bCs/>
          <w:szCs w:val="25"/>
        </w:rPr>
      </w:pPr>
    </w:p>
    <w:p w14:paraId="0019BD5C" w14:textId="7D186E1D"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Government Securities</w:t>
      </w:r>
      <w:r w:rsidRPr="00CE6FFE">
        <w:rPr>
          <w:rFonts w:eastAsia="Calibri" w:cs="Tahoma"/>
          <w:szCs w:val="25"/>
        </w:rPr>
        <w:t xml:space="preserve"> grew by 7.0</w:t>
      </w:r>
      <w:r w:rsidR="003512D6" w:rsidRPr="00CE6FFE">
        <w:rPr>
          <w:rFonts w:eastAsia="Calibri" w:cs="Tahoma"/>
          <w:szCs w:val="25"/>
        </w:rPr>
        <w:t xml:space="preserve"> per cent </w:t>
      </w:r>
      <w:r w:rsidRPr="00CE6FFE">
        <w:rPr>
          <w:rFonts w:eastAsia="Calibri" w:cs="Tahoma"/>
          <w:szCs w:val="25"/>
        </w:rPr>
        <w:t xml:space="preserve">to </w:t>
      </w:r>
      <w:proofErr w:type="spellStart"/>
      <w:r w:rsidRPr="00CE6FFE">
        <w:rPr>
          <w:rFonts w:eastAsia="Calibri" w:cs="Tahoma"/>
          <w:szCs w:val="25"/>
        </w:rPr>
        <w:t>KSh</w:t>
      </w:r>
      <w:proofErr w:type="spellEnd"/>
      <w:r w:rsidRPr="00CE6FFE">
        <w:rPr>
          <w:rFonts w:eastAsia="Calibri" w:cs="Tahoma"/>
          <w:szCs w:val="25"/>
        </w:rPr>
        <w:t xml:space="preserve"> 271.6 billion, from </w:t>
      </w:r>
      <w:proofErr w:type="spellStart"/>
      <w:r w:rsidRPr="00CE6FFE">
        <w:rPr>
          <w:rFonts w:eastAsia="Calibri" w:cs="Tahoma"/>
          <w:szCs w:val="25"/>
        </w:rPr>
        <w:t>KSh</w:t>
      </w:r>
      <w:proofErr w:type="spellEnd"/>
      <w:r w:rsidRPr="00CE6FFE">
        <w:rPr>
          <w:rFonts w:eastAsia="Calibri" w:cs="Tahoma"/>
          <w:szCs w:val="25"/>
        </w:rPr>
        <w:t xml:space="preserve"> 253.7 billion in H1 2025.</w:t>
      </w:r>
    </w:p>
    <w:p w14:paraId="0F5D213E" w14:textId="77777777" w:rsidR="00CE6FFE" w:rsidRPr="00CE6FFE" w:rsidRDefault="00CE6FFE" w:rsidP="00CE6FFE">
      <w:pPr>
        <w:pStyle w:val="ListParagraph"/>
        <w:rPr>
          <w:rFonts w:eastAsia="Calibri" w:cs="Tahoma"/>
          <w:szCs w:val="25"/>
        </w:rPr>
      </w:pPr>
    </w:p>
    <w:p w14:paraId="7682158F" w14:textId="19743419"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Borrowed funds</w:t>
      </w:r>
      <w:r w:rsidRPr="00CE6FFE">
        <w:rPr>
          <w:rFonts w:eastAsia="Calibri" w:cs="Tahoma"/>
          <w:szCs w:val="25"/>
        </w:rPr>
        <w:t xml:space="preserve"> reduced by 11.4</w:t>
      </w:r>
      <w:r w:rsidR="003512D6" w:rsidRPr="00CE6FFE">
        <w:rPr>
          <w:rFonts w:eastAsia="Calibri" w:cs="Tahoma"/>
          <w:szCs w:val="25"/>
        </w:rPr>
        <w:t xml:space="preserve"> per cent </w:t>
      </w:r>
      <w:r w:rsidRPr="00CE6FFE">
        <w:rPr>
          <w:rFonts w:eastAsia="Calibri" w:cs="Tahoma"/>
          <w:szCs w:val="25"/>
        </w:rPr>
        <w:t xml:space="preserve">to </w:t>
      </w:r>
      <w:proofErr w:type="spellStart"/>
      <w:r w:rsidRPr="00CE6FFE">
        <w:rPr>
          <w:rFonts w:eastAsia="Calibri" w:cs="Tahoma"/>
          <w:szCs w:val="25"/>
        </w:rPr>
        <w:t>KSh</w:t>
      </w:r>
      <w:proofErr w:type="spellEnd"/>
      <w:r w:rsidRPr="00CE6FFE">
        <w:rPr>
          <w:rFonts w:eastAsia="Calibri" w:cs="Tahoma"/>
          <w:szCs w:val="25"/>
        </w:rPr>
        <w:t xml:space="preserve"> 58.2 billion, from </w:t>
      </w:r>
      <w:proofErr w:type="spellStart"/>
      <w:r w:rsidRPr="00CE6FFE">
        <w:rPr>
          <w:rFonts w:eastAsia="Calibri" w:cs="Tahoma"/>
          <w:szCs w:val="25"/>
        </w:rPr>
        <w:t>KSh</w:t>
      </w:r>
      <w:proofErr w:type="spellEnd"/>
      <w:r w:rsidRPr="00CE6FFE">
        <w:rPr>
          <w:rFonts w:eastAsia="Calibri" w:cs="Tahoma"/>
          <w:szCs w:val="25"/>
        </w:rPr>
        <w:t xml:space="preserve"> 65.7 billion in H1 2025, reflecting continued </w:t>
      </w:r>
      <w:proofErr w:type="spellStart"/>
      <w:r w:rsidRPr="00CE6FFE">
        <w:rPr>
          <w:rFonts w:eastAsia="Calibri" w:cs="Tahoma"/>
          <w:szCs w:val="25"/>
        </w:rPr>
        <w:t>optimisation</w:t>
      </w:r>
      <w:proofErr w:type="spellEnd"/>
      <w:r w:rsidRPr="00CE6FFE">
        <w:rPr>
          <w:rFonts w:eastAsia="Calibri" w:cs="Tahoma"/>
          <w:szCs w:val="25"/>
        </w:rPr>
        <w:t xml:space="preserve"> of the Group’s funding mix.</w:t>
      </w:r>
    </w:p>
    <w:p w14:paraId="5F898723" w14:textId="77777777" w:rsidR="00CE6FFE" w:rsidRPr="00CE6FFE" w:rsidRDefault="00CE6FFE" w:rsidP="00CE6FFE">
      <w:pPr>
        <w:pStyle w:val="ListParagraph"/>
        <w:rPr>
          <w:rFonts w:eastAsia="Calibri" w:cs="Tahoma"/>
          <w:szCs w:val="25"/>
        </w:rPr>
      </w:pPr>
    </w:p>
    <w:p w14:paraId="7782166B" w14:textId="528948AC"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Shareholders’ Funds</w:t>
      </w:r>
      <w:r w:rsidRPr="00CE6FFE">
        <w:rPr>
          <w:rFonts w:eastAsia="Calibri" w:cs="Tahoma"/>
          <w:szCs w:val="25"/>
        </w:rPr>
        <w:t xml:space="preserve"> increased by 9.4</w:t>
      </w:r>
      <w:r w:rsidR="003512D6" w:rsidRPr="00CE6FFE">
        <w:rPr>
          <w:rFonts w:eastAsia="Calibri" w:cs="Tahoma"/>
          <w:szCs w:val="25"/>
        </w:rPr>
        <w:t xml:space="preserve"> per cent</w:t>
      </w:r>
      <w:r w:rsidRPr="00CE6FFE">
        <w:rPr>
          <w:rFonts w:eastAsia="Calibri" w:cs="Tahoma"/>
          <w:szCs w:val="25"/>
        </w:rPr>
        <w:t xml:space="preserve"> to </w:t>
      </w:r>
      <w:proofErr w:type="spellStart"/>
      <w:r w:rsidRPr="00CE6FFE">
        <w:rPr>
          <w:rFonts w:eastAsia="Calibri" w:cs="Tahoma"/>
          <w:szCs w:val="25"/>
        </w:rPr>
        <w:t>KSh</w:t>
      </w:r>
      <w:proofErr w:type="spellEnd"/>
      <w:r w:rsidRPr="00CE6FFE">
        <w:rPr>
          <w:rFonts w:eastAsia="Calibri" w:cs="Tahoma"/>
          <w:szCs w:val="25"/>
        </w:rPr>
        <w:t xml:space="preserve"> 171.0 billion, supported by continued retained earnings growth and strengthening of the Group’s capital base.</w:t>
      </w:r>
    </w:p>
    <w:p w14:paraId="06E0F529" w14:textId="77777777" w:rsidR="00CE6FFE" w:rsidRPr="00CE6FFE" w:rsidRDefault="00CE6FFE" w:rsidP="00CE6FFE">
      <w:pPr>
        <w:pStyle w:val="ListParagraph"/>
        <w:rPr>
          <w:rFonts w:eastAsia="Calibri" w:cs="Tahoma"/>
          <w:szCs w:val="25"/>
        </w:rPr>
      </w:pPr>
    </w:p>
    <w:p w14:paraId="54A2FE15" w14:textId="37139AE1"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Net Interest Income</w:t>
      </w:r>
      <w:r w:rsidRPr="00CE6FFE">
        <w:rPr>
          <w:rFonts w:eastAsia="Calibri" w:cs="Tahoma"/>
          <w:szCs w:val="25"/>
        </w:rPr>
        <w:t xml:space="preserve"> increased by 13.0</w:t>
      </w:r>
      <w:r w:rsidR="003512D6" w:rsidRPr="00CE6FFE">
        <w:rPr>
          <w:rFonts w:eastAsia="Calibri" w:cs="Tahoma"/>
          <w:szCs w:val="25"/>
        </w:rPr>
        <w:t xml:space="preserve"> per cent</w:t>
      </w:r>
      <w:r w:rsidRPr="00CE6FFE">
        <w:rPr>
          <w:rFonts w:eastAsia="Calibri" w:cs="Tahoma"/>
          <w:szCs w:val="25"/>
        </w:rPr>
        <w:t xml:space="preserve"> to </w:t>
      </w:r>
      <w:proofErr w:type="spellStart"/>
      <w:r w:rsidRPr="00CE6FFE">
        <w:rPr>
          <w:rFonts w:eastAsia="Calibri" w:cs="Tahoma"/>
          <w:szCs w:val="25"/>
        </w:rPr>
        <w:t>KSh</w:t>
      </w:r>
      <w:proofErr w:type="spellEnd"/>
      <w:r w:rsidRPr="00CE6FFE">
        <w:rPr>
          <w:rFonts w:eastAsia="Calibri" w:cs="Tahoma"/>
          <w:szCs w:val="25"/>
        </w:rPr>
        <w:t xml:space="preserve"> 33.2 billion.</w:t>
      </w:r>
    </w:p>
    <w:p w14:paraId="17472D48" w14:textId="77777777" w:rsidR="00CE6FFE" w:rsidRPr="00CE6FFE" w:rsidRDefault="00CE6FFE" w:rsidP="00CE6FFE">
      <w:pPr>
        <w:pStyle w:val="ListParagraph"/>
        <w:rPr>
          <w:rFonts w:eastAsia="Calibri" w:cs="Tahoma"/>
          <w:szCs w:val="25"/>
        </w:rPr>
      </w:pPr>
    </w:p>
    <w:p w14:paraId="0BFA452C" w14:textId="3D00671E"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Operating income</w:t>
      </w:r>
      <w:r w:rsidRPr="00CE6FFE">
        <w:rPr>
          <w:rFonts w:eastAsia="Calibri" w:cs="Tahoma"/>
          <w:szCs w:val="25"/>
        </w:rPr>
        <w:t xml:space="preserve"> increased by 12.5</w:t>
      </w:r>
      <w:r w:rsidR="003512D6" w:rsidRPr="00CE6FFE">
        <w:rPr>
          <w:rFonts w:eastAsia="Calibri" w:cs="Tahoma"/>
          <w:szCs w:val="25"/>
        </w:rPr>
        <w:t xml:space="preserve"> per cent</w:t>
      </w:r>
      <w:r w:rsidRPr="00CE6FFE">
        <w:rPr>
          <w:rFonts w:eastAsia="Calibri" w:cs="Tahoma"/>
          <w:szCs w:val="25"/>
        </w:rPr>
        <w:t xml:space="preserve"> to </w:t>
      </w:r>
      <w:proofErr w:type="spellStart"/>
      <w:r w:rsidRPr="00CE6FFE">
        <w:rPr>
          <w:rFonts w:eastAsia="Calibri" w:cs="Tahoma"/>
          <w:szCs w:val="25"/>
        </w:rPr>
        <w:t>KSh</w:t>
      </w:r>
      <w:proofErr w:type="spellEnd"/>
      <w:r w:rsidRPr="00CE6FFE">
        <w:rPr>
          <w:rFonts w:eastAsia="Calibri" w:cs="Tahoma"/>
          <w:szCs w:val="25"/>
        </w:rPr>
        <w:t xml:space="preserve"> 48.9 billion, driven by growth in net interest income and resilient non-funded income.</w:t>
      </w:r>
    </w:p>
    <w:p w14:paraId="6F66F661" w14:textId="77777777" w:rsidR="00CE6FFE" w:rsidRDefault="00CE6FFE" w:rsidP="00CE6FFE">
      <w:pPr>
        <w:pStyle w:val="ListParagraph"/>
        <w:rPr>
          <w:rFonts w:eastAsia="Calibri" w:cs="Tahoma"/>
          <w:szCs w:val="25"/>
        </w:rPr>
      </w:pPr>
    </w:p>
    <w:p w14:paraId="7045899C" w14:textId="77777777" w:rsidR="00F13893" w:rsidRDefault="00F13893" w:rsidP="00CE6FFE">
      <w:pPr>
        <w:pStyle w:val="ListParagraph"/>
        <w:rPr>
          <w:rFonts w:eastAsia="Calibri" w:cs="Tahoma"/>
          <w:szCs w:val="25"/>
        </w:rPr>
      </w:pPr>
    </w:p>
    <w:p w14:paraId="0D6661F6" w14:textId="77777777" w:rsidR="00F13893" w:rsidRDefault="00F13893" w:rsidP="00CE6FFE">
      <w:pPr>
        <w:pStyle w:val="ListParagraph"/>
        <w:rPr>
          <w:rFonts w:eastAsia="Calibri" w:cs="Tahoma"/>
          <w:szCs w:val="25"/>
        </w:rPr>
      </w:pPr>
    </w:p>
    <w:p w14:paraId="5242C0FE" w14:textId="77777777" w:rsidR="00F13893" w:rsidRDefault="00F13893" w:rsidP="00CE6FFE">
      <w:pPr>
        <w:pStyle w:val="ListParagraph"/>
        <w:rPr>
          <w:rFonts w:eastAsia="Calibri" w:cs="Tahoma"/>
          <w:szCs w:val="25"/>
        </w:rPr>
      </w:pPr>
    </w:p>
    <w:p w14:paraId="2AB9BD98" w14:textId="77777777" w:rsidR="00F13893" w:rsidRPr="00CE6FFE" w:rsidRDefault="00F13893" w:rsidP="00CE6FFE">
      <w:pPr>
        <w:pStyle w:val="ListParagraph"/>
        <w:rPr>
          <w:rFonts w:eastAsia="Calibri" w:cs="Tahoma"/>
          <w:szCs w:val="25"/>
        </w:rPr>
      </w:pPr>
    </w:p>
    <w:p w14:paraId="1B3C5EC9" w14:textId="3485D4CD" w:rsidR="00766F84" w:rsidRPr="00CE6FFE" w:rsidRDefault="00B84264" w:rsidP="003512D6">
      <w:pPr>
        <w:pStyle w:val="ListParagraph"/>
        <w:numPr>
          <w:ilvl w:val="0"/>
          <w:numId w:val="26"/>
        </w:numPr>
        <w:spacing w:after="0" w:line="240" w:lineRule="auto"/>
        <w:jc w:val="both"/>
        <w:rPr>
          <w:rFonts w:eastAsia="Calibri" w:cs="Tahoma"/>
          <w:szCs w:val="25"/>
        </w:rPr>
      </w:pPr>
      <w:r w:rsidRPr="00CE6FFE">
        <w:rPr>
          <w:rFonts w:eastAsia="Calibri" w:cs="Tahoma"/>
          <w:b/>
          <w:bCs/>
          <w:szCs w:val="25"/>
        </w:rPr>
        <w:t>Operating expenses</w:t>
      </w:r>
      <w:r w:rsidRPr="00CE6FFE">
        <w:rPr>
          <w:rFonts w:eastAsia="Calibri" w:cs="Tahoma"/>
          <w:szCs w:val="25"/>
        </w:rPr>
        <w:t xml:space="preserve"> increased by 9.2</w:t>
      </w:r>
      <w:r w:rsidR="003512D6" w:rsidRPr="00CE6FFE">
        <w:rPr>
          <w:rFonts w:eastAsia="Calibri" w:cs="Tahoma"/>
          <w:szCs w:val="25"/>
        </w:rPr>
        <w:t xml:space="preserve"> per cent</w:t>
      </w:r>
      <w:r w:rsidRPr="00CE6FFE">
        <w:rPr>
          <w:rFonts w:eastAsia="Calibri" w:cs="Tahoma"/>
          <w:szCs w:val="25"/>
        </w:rPr>
        <w:t>, with the cost-to-income ratio before provisions at 46.0</w:t>
      </w:r>
      <w:r w:rsidR="003512D6" w:rsidRPr="00CE6FFE">
        <w:rPr>
          <w:rFonts w:eastAsia="Calibri" w:cs="Tahoma"/>
          <w:szCs w:val="25"/>
        </w:rPr>
        <w:t xml:space="preserve"> per cent</w:t>
      </w:r>
      <w:r w:rsidR="008050B8" w:rsidRPr="00CE6FFE">
        <w:rPr>
          <w:rFonts w:eastAsia="Calibri" w:cs="Tahoma"/>
          <w:szCs w:val="25"/>
        </w:rPr>
        <w:t>.</w:t>
      </w:r>
    </w:p>
    <w:p w14:paraId="6E3C68F6" w14:textId="77777777" w:rsidR="00CE6FFE" w:rsidRPr="00CE6FFE" w:rsidRDefault="00CE6FFE" w:rsidP="00CE6FFE">
      <w:pPr>
        <w:pStyle w:val="ListParagraph"/>
        <w:rPr>
          <w:rFonts w:eastAsia="Calibri" w:cs="Tahoma"/>
          <w:szCs w:val="25"/>
        </w:rPr>
      </w:pPr>
    </w:p>
    <w:p w14:paraId="61C0E67C" w14:textId="77777777" w:rsidR="003B4DB1" w:rsidRDefault="00B84264" w:rsidP="003512D6">
      <w:pPr>
        <w:pStyle w:val="ListParagraph"/>
        <w:numPr>
          <w:ilvl w:val="0"/>
          <w:numId w:val="26"/>
        </w:numPr>
        <w:spacing w:after="0" w:line="240" w:lineRule="auto"/>
        <w:jc w:val="both"/>
        <w:rPr>
          <w:rFonts w:eastAsia="Calibri" w:cs="Tahoma"/>
          <w:szCs w:val="25"/>
        </w:rPr>
      </w:pPr>
      <w:r w:rsidRPr="003B4DB1">
        <w:rPr>
          <w:rFonts w:eastAsia="Calibri" w:cs="Tahoma"/>
          <w:szCs w:val="25"/>
        </w:rPr>
        <w:t>The Group maintained a strong liquidity and capital position, with a</w:t>
      </w:r>
      <w:r w:rsidRPr="003B4DB1">
        <w:rPr>
          <w:rFonts w:eastAsia="Calibri" w:cs="Tahoma"/>
          <w:b/>
          <w:bCs/>
          <w:szCs w:val="25"/>
        </w:rPr>
        <w:t xml:space="preserve"> liquidity ratio </w:t>
      </w:r>
      <w:r w:rsidRPr="003B4DB1">
        <w:rPr>
          <w:rFonts w:eastAsia="Calibri" w:cs="Tahoma"/>
          <w:szCs w:val="25"/>
        </w:rPr>
        <w:t>of 57.3</w:t>
      </w:r>
      <w:r w:rsidR="003512D6" w:rsidRPr="003B4DB1">
        <w:rPr>
          <w:rFonts w:eastAsia="Calibri" w:cs="Tahoma"/>
          <w:szCs w:val="25"/>
        </w:rPr>
        <w:t xml:space="preserve"> per cent</w:t>
      </w:r>
      <w:r w:rsidRPr="003B4DB1">
        <w:rPr>
          <w:rFonts w:eastAsia="Calibri" w:cs="Tahoma"/>
          <w:szCs w:val="25"/>
        </w:rPr>
        <w:t xml:space="preserve"> and total capital to total risk weighted assets at 22.9</w:t>
      </w:r>
      <w:r w:rsidR="003512D6" w:rsidRPr="003B4DB1">
        <w:rPr>
          <w:rFonts w:eastAsia="Calibri" w:cs="Tahoma"/>
          <w:szCs w:val="25"/>
        </w:rPr>
        <w:t xml:space="preserve"> per cent</w:t>
      </w:r>
      <w:r w:rsidRPr="003B4DB1">
        <w:rPr>
          <w:rFonts w:eastAsia="Calibri" w:cs="Tahoma"/>
          <w:szCs w:val="25"/>
        </w:rPr>
        <w:t>, providing a robust platform for continued lending, investment and long-term value creation.</w:t>
      </w:r>
    </w:p>
    <w:p w14:paraId="40571011" w14:textId="77777777" w:rsidR="003B4DB1" w:rsidRPr="003B4DB1" w:rsidRDefault="003B4DB1" w:rsidP="003B4DB1">
      <w:pPr>
        <w:pStyle w:val="ListParagraph"/>
        <w:rPr>
          <w:rFonts w:eastAsia="Calibri" w:cs="Tahoma"/>
          <w:szCs w:val="25"/>
        </w:rPr>
      </w:pPr>
    </w:p>
    <w:p w14:paraId="6D0D1621" w14:textId="580C0FA4" w:rsidR="00766F84" w:rsidRPr="003B4DB1" w:rsidRDefault="00B84264" w:rsidP="003512D6">
      <w:pPr>
        <w:pStyle w:val="ListParagraph"/>
        <w:numPr>
          <w:ilvl w:val="0"/>
          <w:numId w:val="26"/>
        </w:numPr>
        <w:spacing w:after="0" w:line="240" w:lineRule="auto"/>
        <w:jc w:val="both"/>
        <w:rPr>
          <w:rFonts w:eastAsia="Calibri" w:cs="Tahoma"/>
          <w:szCs w:val="25"/>
        </w:rPr>
      </w:pPr>
      <w:r w:rsidRPr="003B4DB1">
        <w:rPr>
          <w:rFonts w:eastAsia="Calibri" w:cs="Tahoma"/>
          <w:szCs w:val="25"/>
        </w:rPr>
        <w:t xml:space="preserve">We continued to strengthen asset quality through proactive credit management, customer engagement and portfolio monitoring. The </w:t>
      </w:r>
      <w:r w:rsidRPr="003B4DB1">
        <w:rPr>
          <w:rFonts w:eastAsia="Calibri" w:cs="Tahoma"/>
          <w:b/>
          <w:bCs/>
          <w:szCs w:val="25"/>
        </w:rPr>
        <w:t>Group</w:t>
      </w:r>
      <w:r w:rsidRPr="003B4DB1">
        <w:rPr>
          <w:rFonts w:eastAsia="Calibri" w:cs="Tahoma"/>
          <w:szCs w:val="25"/>
        </w:rPr>
        <w:t xml:space="preserve"> </w:t>
      </w:r>
      <w:r w:rsidRPr="003B4DB1">
        <w:rPr>
          <w:rFonts w:eastAsia="Calibri" w:cs="Tahoma"/>
          <w:b/>
          <w:bCs/>
          <w:szCs w:val="25"/>
        </w:rPr>
        <w:t>NPL ratio improved to 13.9</w:t>
      </w:r>
      <w:r w:rsidR="00CE6FFE" w:rsidRPr="003B4DB1">
        <w:rPr>
          <w:rFonts w:eastAsia="Calibri" w:cs="Tahoma"/>
          <w:b/>
          <w:bCs/>
          <w:szCs w:val="25"/>
        </w:rPr>
        <w:t xml:space="preserve"> per cent</w:t>
      </w:r>
      <w:r w:rsidRPr="003B4DB1">
        <w:rPr>
          <w:rFonts w:eastAsia="Calibri" w:cs="Tahoma"/>
          <w:szCs w:val="25"/>
        </w:rPr>
        <w:t xml:space="preserve"> from 17.2</w:t>
      </w:r>
      <w:r w:rsidR="00CE6FFE" w:rsidRPr="003B4DB1">
        <w:rPr>
          <w:rFonts w:eastAsia="Calibri" w:cs="Tahoma"/>
          <w:szCs w:val="25"/>
        </w:rPr>
        <w:t xml:space="preserve"> per cent</w:t>
      </w:r>
      <w:r w:rsidRPr="003B4DB1">
        <w:rPr>
          <w:rFonts w:eastAsia="Calibri" w:cs="Tahoma"/>
          <w:szCs w:val="25"/>
        </w:rPr>
        <w:t xml:space="preserve"> in H1 2025, IFRS coverage improved to 80.7</w:t>
      </w:r>
      <w:r w:rsidR="00CE6FFE" w:rsidRPr="003B4DB1">
        <w:rPr>
          <w:rFonts w:eastAsia="Calibri" w:cs="Tahoma"/>
          <w:szCs w:val="25"/>
        </w:rPr>
        <w:t xml:space="preserve"> per cent</w:t>
      </w:r>
      <w:r w:rsidRPr="003B4DB1">
        <w:rPr>
          <w:rFonts w:eastAsia="Calibri" w:cs="Tahoma"/>
          <w:szCs w:val="25"/>
        </w:rPr>
        <w:t xml:space="preserve"> from 69.9</w:t>
      </w:r>
      <w:r w:rsidR="00CE6FFE" w:rsidRPr="003B4DB1">
        <w:rPr>
          <w:rFonts w:eastAsia="Calibri" w:cs="Tahoma"/>
          <w:szCs w:val="25"/>
        </w:rPr>
        <w:t xml:space="preserve"> per cent</w:t>
      </w:r>
      <w:r w:rsidRPr="003B4DB1">
        <w:rPr>
          <w:rFonts w:eastAsia="Calibri" w:cs="Tahoma"/>
          <w:szCs w:val="25"/>
        </w:rPr>
        <w:t>, and cost of risk improved to 1.</w:t>
      </w:r>
      <w:r w:rsidR="106161B6" w:rsidRPr="003B4DB1">
        <w:rPr>
          <w:rFonts w:eastAsia="Calibri" w:cs="Tahoma"/>
          <w:szCs w:val="25"/>
        </w:rPr>
        <w:t>8</w:t>
      </w:r>
      <w:r w:rsidR="00CE6FFE" w:rsidRPr="003B4DB1">
        <w:rPr>
          <w:rFonts w:eastAsia="Calibri" w:cs="Tahoma"/>
          <w:szCs w:val="25"/>
        </w:rPr>
        <w:t xml:space="preserve"> per cent</w:t>
      </w:r>
      <w:r w:rsidRPr="003B4DB1">
        <w:rPr>
          <w:rFonts w:eastAsia="Calibri" w:cs="Tahoma"/>
          <w:szCs w:val="25"/>
        </w:rPr>
        <w:t xml:space="preserve"> from 2.4</w:t>
      </w:r>
      <w:r w:rsidR="00CE6FFE" w:rsidRPr="003B4DB1">
        <w:rPr>
          <w:rFonts w:eastAsia="Calibri" w:cs="Tahoma"/>
          <w:szCs w:val="25"/>
        </w:rPr>
        <w:t xml:space="preserve"> per cent</w:t>
      </w:r>
      <w:r w:rsidRPr="003B4DB1">
        <w:rPr>
          <w:rFonts w:eastAsia="Calibri" w:cs="Tahoma"/>
          <w:szCs w:val="25"/>
        </w:rPr>
        <w:t>.</w:t>
      </w:r>
    </w:p>
    <w:p w14:paraId="12898195" w14:textId="77777777" w:rsidR="0018658C" w:rsidRPr="00216121" w:rsidRDefault="0018658C" w:rsidP="009C7084">
      <w:pPr>
        <w:pBdr>
          <w:bottom w:val="single" w:sz="4" w:space="1" w:color="auto"/>
        </w:pBdr>
        <w:spacing w:beforeLines="120" w:before="288" w:afterLines="120" w:after="288" w:line="240" w:lineRule="auto"/>
        <w:jc w:val="both"/>
      </w:pPr>
    </w:p>
    <w:p w14:paraId="4D09598C" w14:textId="794D45F0" w:rsidR="00766F84" w:rsidRPr="00216121" w:rsidRDefault="00B84264" w:rsidP="009C7084">
      <w:pPr>
        <w:spacing w:beforeLines="120" w:before="288" w:afterLines="120" w:after="288" w:line="240" w:lineRule="auto"/>
      </w:pPr>
      <w:r w:rsidRPr="00216121">
        <w:rPr>
          <w:b/>
        </w:rPr>
        <w:t>Digital Leadership and Scale</w:t>
      </w:r>
    </w:p>
    <w:p w14:paraId="7ABD3037" w14:textId="5E641809" w:rsidR="00766F84" w:rsidRDefault="00B84264" w:rsidP="009C7084">
      <w:pPr>
        <w:spacing w:beforeLines="120" w:before="288" w:afterLines="120" w:after="288" w:line="240" w:lineRule="auto"/>
        <w:jc w:val="both"/>
      </w:pPr>
      <w:r w:rsidRPr="00216121">
        <w:t xml:space="preserve">The Group continued to strengthen its digital leadership, with </w:t>
      </w:r>
      <w:r w:rsidR="002F0740">
        <w:t xml:space="preserve">over </w:t>
      </w:r>
      <w:r w:rsidRPr="00216121">
        <w:rPr>
          <w:b/>
          <w:bCs/>
        </w:rPr>
        <w:t>9</w:t>
      </w:r>
      <w:r w:rsidR="002F0740">
        <w:rPr>
          <w:b/>
          <w:bCs/>
        </w:rPr>
        <w:t>0</w:t>
      </w:r>
      <w:r w:rsidRPr="00216121">
        <w:rPr>
          <w:b/>
          <w:bCs/>
        </w:rPr>
        <w:t>%</w:t>
      </w:r>
      <w:r w:rsidRPr="00216121">
        <w:t xml:space="preserve"> of all customer transactions processed through </w:t>
      </w:r>
      <w:r w:rsidRPr="00216121">
        <w:rPr>
          <w:b/>
          <w:bCs/>
        </w:rPr>
        <w:t>alternative delivery channels</w:t>
      </w:r>
      <w:r w:rsidRPr="00216121">
        <w:t>, reflecting sustained adoption of convenient, secure and accessible banking solutions.</w:t>
      </w:r>
    </w:p>
    <w:p w14:paraId="46EF9E73" w14:textId="2509691F" w:rsidR="00766F84" w:rsidRDefault="00B84264" w:rsidP="009C7084">
      <w:pPr>
        <w:pStyle w:val="ListParagraph"/>
        <w:numPr>
          <w:ilvl w:val="0"/>
          <w:numId w:val="18"/>
        </w:numPr>
        <w:spacing w:beforeLines="120" w:before="288" w:afterLines="120" w:after="288" w:line="240" w:lineRule="auto"/>
        <w:contextualSpacing w:val="0"/>
        <w:jc w:val="both"/>
      </w:pPr>
      <w:r>
        <w:t xml:space="preserve">The Bank’s </w:t>
      </w:r>
      <w:r w:rsidRPr="0018658C">
        <w:rPr>
          <w:b/>
        </w:rPr>
        <w:t>omni-channel platform</w:t>
      </w:r>
      <w:r>
        <w:t xml:space="preserve"> across mobile, internet and USSD continues to support seamless and efficient service delivery.</w:t>
      </w:r>
    </w:p>
    <w:p w14:paraId="719E6DFA" w14:textId="0800BD80" w:rsidR="00766F84" w:rsidRDefault="00B84264" w:rsidP="009C7084">
      <w:pPr>
        <w:pStyle w:val="ListParagraph"/>
        <w:numPr>
          <w:ilvl w:val="0"/>
          <w:numId w:val="18"/>
        </w:numPr>
        <w:spacing w:beforeLines="120" w:before="288" w:afterLines="120" w:after="288" w:line="240" w:lineRule="auto"/>
        <w:contextualSpacing w:val="0"/>
        <w:jc w:val="both"/>
      </w:pPr>
      <w:r>
        <w:t xml:space="preserve">This is complemented by an extensive distribution infrastructure comprising </w:t>
      </w:r>
      <w:r w:rsidRPr="0018658C">
        <w:rPr>
          <w:b/>
        </w:rPr>
        <w:t>16,105 Co-op Kwa Jirani agents</w:t>
      </w:r>
      <w:r>
        <w:t xml:space="preserve">, </w:t>
      </w:r>
      <w:r w:rsidRPr="0018658C">
        <w:rPr>
          <w:b/>
        </w:rPr>
        <w:t>609 ATMs and Cash Deposit Machines</w:t>
      </w:r>
      <w:r>
        <w:t xml:space="preserve">, and a </w:t>
      </w:r>
      <w:r w:rsidRPr="0018658C">
        <w:rPr>
          <w:b/>
        </w:rPr>
        <w:t>24-hour contact centre</w:t>
      </w:r>
      <w:r>
        <w:t>, ensuring accessibility across all customer segments.</w:t>
      </w:r>
    </w:p>
    <w:p w14:paraId="65EE059B" w14:textId="7AD326B9"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Agency banking</w:t>
      </w:r>
      <w:r>
        <w:t xml:space="preserve"> continued to deepen customer reach, with </w:t>
      </w:r>
      <w:r w:rsidRPr="0018658C">
        <w:rPr>
          <w:b/>
        </w:rPr>
        <w:t>deposits generated by agents</w:t>
      </w:r>
      <w:r>
        <w:t xml:space="preserve"> increasing by </w:t>
      </w:r>
      <w:r w:rsidRPr="0018658C">
        <w:rPr>
          <w:b/>
        </w:rPr>
        <w:t>8.7%</w:t>
      </w:r>
      <w:r>
        <w:t xml:space="preserve"> to </w:t>
      </w:r>
      <w:proofErr w:type="spellStart"/>
      <w:r w:rsidRPr="005F468D">
        <w:rPr>
          <w:b/>
        </w:rPr>
        <w:t>KSh</w:t>
      </w:r>
      <w:proofErr w:type="spellEnd"/>
      <w:r w:rsidRPr="005F468D">
        <w:rPr>
          <w:b/>
        </w:rPr>
        <w:t xml:space="preserve"> 92.5 billion</w:t>
      </w:r>
      <w:r>
        <w:t xml:space="preserve">, from </w:t>
      </w:r>
      <w:proofErr w:type="spellStart"/>
      <w:r w:rsidRPr="0018658C">
        <w:rPr>
          <w:b/>
        </w:rPr>
        <w:t>KSh</w:t>
      </w:r>
      <w:proofErr w:type="spellEnd"/>
      <w:r w:rsidRPr="0018658C">
        <w:rPr>
          <w:b/>
        </w:rPr>
        <w:t xml:space="preserve"> 85.1 billion</w:t>
      </w:r>
      <w:r>
        <w:t xml:space="preserve"> in H1 2025.</w:t>
      </w:r>
    </w:p>
    <w:p w14:paraId="7759F9D3" w14:textId="353F42C9" w:rsidR="00766F84" w:rsidRDefault="00B84264" w:rsidP="009C7084">
      <w:pPr>
        <w:pStyle w:val="ListParagraph"/>
        <w:numPr>
          <w:ilvl w:val="0"/>
          <w:numId w:val="18"/>
        </w:numPr>
        <w:spacing w:beforeLines="120" w:before="288" w:afterLines="120" w:after="288" w:line="240" w:lineRule="auto"/>
        <w:contextualSpacing w:val="0"/>
        <w:jc w:val="both"/>
      </w:pPr>
      <w:r>
        <w:t xml:space="preserve">The Group maintained a strong physical presence with a network of </w:t>
      </w:r>
      <w:r w:rsidRPr="0018658C">
        <w:rPr>
          <w:b/>
        </w:rPr>
        <w:t>223 branches</w:t>
      </w:r>
      <w:r>
        <w:t xml:space="preserve"> across Kenya, South Sudan and </w:t>
      </w:r>
      <w:r w:rsidRPr="0018658C">
        <w:rPr>
          <w:bCs/>
        </w:rPr>
        <w:t>Kingdom Bank.</w:t>
      </w:r>
    </w:p>
    <w:p w14:paraId="51D210C8" w14:textId="7D2BF5DB" w:rsidR="00766F84" w:rsidRDefault="00B84264" w:rsidP="009C7084">
      <w:pPr>
        <w:pStyle w:val="ListParagraph"/>
        <w:numPr>
          <w:ilvl w:val="0"/>
          <w:numId w:val="18"/>
        </w:numPr>
        <w:spacing w:beforeLines="120" w:before="288" w:afterLines="120" w:after="288" w:line="240" w:lineRule="auto"/>
        <w:contextualSpacing w:val="0"/>
        <w:jc w:val="both"/>
      </w:pPr>
      <w:r>
        <w:t xml:space="preserve">The branch network is further complemented by </w:t>
      </w:r>
      <w:r w:rsidRPr="0018658C">
        <w:rPr>
          <w:b/>
        </w:rPr>
        <w:t>619 SACCO front offices</w:t>
      </w:r>
      <w:r>
        <w:t>, reinforcing the Bank’s deep integration within the co-operative ecosystem.</w:t>
      </w:r>
    </w:p>
    <w:p w14:paraId="02DAAFB0" w14:textId="5E28273C" w:rsidR="00766F84" w:rsidRDefault="00B84264" w:rsidP="009C7084">
      <w:pPr>
        <w:pStyle w:val="ListParagraph"/>
        <w:numPr>
          <w:ilvl w:val="0"/>
          <w:numId w:val="18"/>
        </w:numPr>
        <w:spacing w:beforeLines="120" w:before="288" w:afterLines="120" w:after="288" w:line="240" w:lineRule="auto"/>
        <w:contextualSpacing w:val="0"/>
        <w:jc w:val="both"/>
      </w:pPr>
      <w:r>
        <w:t xml:space="preserve">Customer reach continued to expand, supported by a growing base of </w:t>
      </w:r>
      <w:r w:rsidRPr="0018658C">
        <w:rPr>
          <w:b/>
        </w:rPr>
        <w:t>over 23,000 Diaspora Banking customers</w:t>
      </w:r>
      <w:r>
        <w:t>.</w:t>
      </w:r>
    </w:p>
    <w:p w14:paraId="1A929D0D" w14:textId="4BFA9372" w:rsidR="00766F84" w:rsidRDefault="00B84264" w:rsidP="009C7084">
      <w:pPr>
        <w:pStyle w:val="ListParagraph"/>
        <w:numPr>
          <w:ilvl w:val="0"/>
          <w:numId w:val="18"/>
        </w:numPr>
        <w:spacing w:beforeLines="120" w:before="288" w:afterLines="120" w:after="288" w:line="240" w:lineRule="auto"/>
        <w:contextualSpacing w:val="0"/>
        <w:jc w:val="both"/>
      </w:pPr>
      <w:r>
        <w:t xml:space="preserve">Staff numbers increased to </w:t>
      </w:r>
      <w:r w:rsidRPr="0018658C">
        <w:rPr>
          <w:b/>
        </w:rPr>
        <w:t>6,591</w:t>
      </w:r>
      <w:r>
        <w:t xml:space="preserve">, reflecting continued investment in people and operational capacity, creating a total of </w:t>
      </w:r>
      <w:r w:rsidRPr="0018658C">
        <w:rPr>
          <w:b/>
        </w:rPr>
        <w:t>741 jobs</w:t>
      </w:r>
      <w:r>
        <w:t xml:space="preserve"> since H1 2025.</w:t>
      </w:r>
    </w:p>
    <w:p w14:paraId="059FB25A" w14:textId="77777777" w:rsidR="00766F84" w:rsidRDefault="00766F84" w:rsidP="009C7084">
      <w:pPr>
        <w:pBdr>
          <w:bottom w:val="single" w:sz="4" w:space="1" w:color="auto"/>
        </w:pBdr>
        <w:spacing w:beforeLines="120" w:before="288" w:afterLines="120" w:after="288" w:line="240" w:lineRule="auto"/>
        <w:jc w:val="both"/>
      </w:pPr>
    </w:p>
    <w:p w14:paraId="6F679D14" w14:textId="77777777" w:rsidR="00F13893" w:rsidRDefault="00F13893" w:rsidP="009C7084">
      <w:pPr>
        <w:spacing w:beforeLines="120" w:before="288" w:afterLines="120" w:after="288" w:line="240" w:lineRule="auto"/>
        <w:rPr>
          <w:b/>
        </w:rPr>
      </w:pPr>
    </w:p>
    <w:p w14:paraId="65CA4647" w14:textId="77777777" w:rsidR="00F13893" w:rsidRDefault="00F13893" w:rsidP="009C7084">
      <w:pPr>
        <w:spacing w:beforeLines="120" w:before="288" w:afterLines="120" w:after="288" w:line="240" w:lineRule="auto"/>
        <w:rPr>
          <w:b/>
        </w:rPr>
      </w:pPr>
    </w:p>
    <w:p w14:paraId="6EC548F7" w14:textId="77777777" w:rsidR="00F13893" w:rsidRDefault="00F13893" w:rsidP="009C7084">
      <w:pPr>
        <w:spacing w:beforeLines="120" w:before="288" w:afterLines="120" w:after="288" w:line="240" w:lineRule="auto"/>
        <w:rPr>
          <w:b/>
        </w:rPr>
      </w:pPr>
    </w:p>
    <w:p w14:paraId="5A89DAC5" w14:textId="1BF7069C" w:rsidR="00766F84" w:rsidRDefault="00B84264" w:rsidP="009C7084">
      <w:pPr>
        <w:spacing w:beforeLines="120" w:before="288" w:afterLines="120" w:after="288" w:line="240" w:lineRule="auto"/>
      </w:pPr>
      <w:r>
        <w:rPr>
          <w:b/>
        </w:rPr>
        <w:t>MSME, E-Credit and Financial Inclusion</w:t>
      </w:r>
    </w:p>
    <w:p w14:paraId="759A9A9E" w14:textId="77777777" w:rsidR="00766F84" w:rsidRDefault="00B84264" w:rsidP="009C7084">
      <w:pPr>
        <w:spacing w:beforeLines="120" w:before="288" w:afterLines="120" w:after="288" w:line="240" w:lineRule="auto"/>
        <w:jc w:val="both"/>
      </w:pPr>
      <w:r>
        <w:t>The Group continued to deepen financial inclusion and enterprise growth through its MSME and digital credit propositions, reinforcing its role in supporting livelihoods and economic activity across the country.</w:t>
      </w:r>
    </w:p>
    <w:p w14:paraId="472AA48C" w14:textId="5AFED4DD"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E-Credit disbursements</w:t>
      </w:r>
      <w:r>
        <w:t xml:space="preserve"> in H1 2026 reached </w:t>
      </w:r>
      <w:proofErr w:type="spellStart"/>
      <w:r w:rsidRPr="0018658C">
        <w:rPr>
          <w:b/>
        </w:rPr>
        <w:t>KSh</w:t>
      </w:r>
      <w:proofErr w:type="spellEnd"/>
      <w:r w:rsidRPr="0018658C">
        <w:rPr>
          <w:b/>
        </w:rPr>
        <w:t xml:space="preserve"> 40.4 billion</w:t>
      </w:r>
      <w:r>
        <w:t>, supporting customers with convenient and accessible credit solutions.</w:t>
      </w:r>
    </w:p>
    <w:p w14:paraId="49F76028" w14:textId="6F754642" w:rsidR="00766F84" w:rsidRDefault="00B84264" w:rsidP="009C7084">
      <w:pPr>
        <w:pStyle w:val="ListParagraph"/>
        <w:numPr>
          <w:ilvl w:val="0"/>
          <w:numId w:val="18"/>
        </w:numPr>
        <w:spacing w:beforeLines="120" w:before="288" w:afterLines="120" w:after="288" w:line="240" w:lineRule="auto"/>
        <w:contextualSpacing w:val="0"/>
        <w:jc w:val="both"/>
      </w:pPr>
      <w:r>
        <w:t xml:space="preserve">Since inception, the </w:t>
      </w:r>
      <w:r w:rsidRPr="0018658C">
        <w:rPr>
          <w:b/>
        </w:rPr>
        <w:t>E-Credit platform</w:t>
      </w:r>
      <w:r>
        <w:t xml:space="preserve"> has disbursed over </w:t>
      </w:r>
      <w:proofErr w:type="spellStart"/>
      <w:r w:rsidRPr="0018658C">
        <w:rPr>
          <w:b/>
        </w:rPr>
        <w:t>KSh</w:t>
      </w:r>
      <w:proofErr w:type="spellEnd"/>
      <w:r w:rsidRPr="0018658C">
        <w:rPr>
          <w:b/>
        </w:rPr>
        <w:t xml:space="preserve"> 561.2 billion</w:t>
      </w:r>
      <w:r>
        <w:t>, underscoring its scale and impact in driving financial inclusion.</w:t>
      </w:r>
    </w:p>
    <w:p w14:paraId="3230BB72" w14:textId="59E76895"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 xml:space="preserve">Cumulative </w:t>
      </w:r>
      <w:proofErr w:type="spellStart"/>
      <w:r w:rsidRPr="0018658C">
        <w:rPr>
          <w:b/>
        </w:rPr>
        <w:t>MCo-op</w:t>
      </w:r>
      <w:proofErr w:type="spellEnd"/>
      <w:r w:rsidRPr="0018658C">
        <w:rPr>
          <w:b/>
        </w:rPr>
        <w:t xml:space="preserve"> Cash loan customers</w:t>
      </w:r>
      <w:r>
        <w:t xml:space="preserve"> increased to 15.6 million, demonstrating continued customer adoption of the Bank’s digital credit solutions.</w:t>
      </w:r>
    </w:p>
    <w:p w14:paraId="1293C0E2" w14:textId="0621CF0B" w:rsidR="00766F84" w:rsidRDefault="00B84264" w:rsidP="009C7084">
      <w:pPr>
        <w:pStyle w:val="ListParagraph"/>
        <w:numPr>
          <w:ilvl w:val="0"/>
          <w:numId w:val="18"/>
        </w:numPr>
        <w:spacing w:beforeLines="120" w:before="288" w:afterLines="120" w:after="288" w:line="240" w:lineRule="auto"/>
        <w:contextualSpacing w:val="0"/>
        <w:jc w:val="both"/>
      </w:pPr>
      <w:r>
        <w:t xml:space="preserve">The Bank continued to strengthen its MSME value proposition, with </w:t>
      </w:r>
      <w:r w:rsidRPr="0018658C">
        <w:rPr>
          <w:b/>
        </w:rPr>
        <w:t>268,604 MSMEs</w:t>
      </w:r>
      <w:r>
        <w:t xml:space="preserve"> onboarded onto tailored MSME packages.</w:t>
      </w:r>
    </w:p>
    <w:p w14:paraId="495B67FB" w14:textId="2AE60AEB" w:rsidR="00766F84" w:rsidRDefault="00B84264" w:rsidP="009C7084">
      <w:pPr>
        <w:pStyle w:val="ListParagraph"/>
        <w:numPr>
          <w:ilvl w:val="0"/>
          <w:numId w:val="18"/>
        </w:numPr>
        <w:spacing w:beforeLines="120" w:before="288" w:afterLines="120" w:after="288" w:line="240" w:lineRule="auto"/>
        <w:contextualSpacing w:val="0"/>
        <w:jc w:val="both"/>
      </w:pPr>
      <w:r>
        <w:t xml:space="preserve">In addition, </w:t>
      </w:r>
      <w:r w:rsidRPr="0018658C">
        <w:rPr>
          <w:b/>
        </w:rPr>
        <w:t>71,298 MSMEs</w:t>
      </w:r>
      <w:r>
        <w:t xml:space="preserve"> were supported through capacity-building and training initiatives, enhancing business skills and resilience.</w:t>
      </w:r>
    </w:p>
    <w:p w14:paraId="52B0E5C5" w14:textId="270D0EE5" w:rsidR="00766F84" w:rsidRDefault="00B84264" w:rsidP="009C7084">
      <w:pPr>
        <w:pStyle w:val="ListParagraph"/>
        <w:numPr>
          <w:ilvl w:val="0"/>
          <w:numId w:val="18"/>
        </w:numPr>
        <w:spacing w:beforeLines="120" w:before="288" w:afterLines="120" w:after="288" w:line="240" w:lineRule="auto"/>
        <w:contextualSpacing w:val="0"/>
        <w:jc w:val="both"/>
      </w:pPr>
      <w:r w:rsidRPr="39866CCD">
        <w:rPr>
          <w:b/>
          <w:bCs/>
        </w:rPr>
        <w:t>MSMEs</w:t>
      </w:r>
      <w:r>
        <w:t xml:space="preserve"> remained a key segment for the Group, accounting for </w:t>
      </w:r>
      <w:r w:rsidRPr="39866CCD">
        <w:rPr>
          <w:b/>
          <w:bCs/>
        </w:rPr>
        <w:t>16.5%</w:t>
      </w:r>
      <w:r>
        <w:t xml:space="preserve"> of the Bank’s loan book and </w:t>
      </w:r>
      <w:r w:rsidRPr="39866CCD">
        <w:rPr>
          <w:b/>
          <w:bCs/>
        </w:rPr>
        <w:t>23.1%</w:t>
      </w:r>
      <w:r>
        <w:t xml:space="preserve"> of customer deposits, reflecting strong engagement across both lending and transactional relationships.</w:t>
      </w:r>
      <w:r w:rsidR="144A4564">
        <w:t xml:space="preserve"> </w:t>
      </w:r>
    </w:p>
    <w:p w14:paraId="204A5689" w14:textId="55292A03" w:rsidR="6494455E" w:rsidRDefault="6494455E" w:rsidP="000CC2F6">
      <w:pPr>
        <w:pStyle w:val="ListParagraph"/>
        <w:numPr>
          <w:ilvl w:val="0"/>
          <w:numId w:val="18"/>
        </w:numPr>
        <w:spacing w:beforeLines="120" w:before="288" w:afterLines="120" w:after="288" w:line="240" w:lineRule="auto"/>
        <w:contextualSpacing w:val="0"/>
        <w:jc w:val="both"/>
      </w:pPr>
      <w:r w:rsidRPr="000CC2F6">
        <w:t xml:space="preserve">We enhanced merchant capabilities through an integrated payments ecosystem, enabling businesses to monitor sales, request payments and access instant Till loans for working capital needs through the </w:t>
      </w:r>
      <w:r w:rsidRPr="000CC2F6">
        <w:rPr>
          <w:b/>
          <w:bCs/>
        </w:rPr>
        <w:t>CoopTill App</w:t>
      </w:r>
      <w:r w:rsidRPr="000CC2F6">
        <w:t xml:space="preserve">, in addition to accepting card and mobile money payments via </w:t>
      </w:r>
      <w:r w:rsidRPr="000CC2F6">
        <w:rPr>
          <w:b/>
          <w:bCs/>
        </w:rPr>
        <w:t>POS</w:t>
      </w:r>
      <w:r w:rsidRPr="000CC2F6">
        <w:t xml:space="preserve"> and </w:t>
      </w:r>
      <w:r w:rsidRPr="000CC2F6">
        <w:rPr>
          <w:b/>
          <w:bCs/>
        </w:rPr>
        <w:t>Lipa Na M-Pesa</w:t>
      </w:r>
      <w:r w:rsidRPr="000CC2F6">
        <w:t xml:space="preserve">, and transacting securely online through </w:t>
      </w:r>
      <w:r w:rsidRPr="000CC2F6">
        <w:rPr>
          <w:b/>
          <w:bCs/>
        </w:rPr>
        <w:t>Chapa Pay</w:t>
      </w:r>
      <w:r w:rsidRPr="000CC2F6">
        <w:t>.</w:t>
      </w:r>
    </w:p>
    <w:p w14:paraId="676B8B62" w14:textId="0E9C2AA1"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Kingdom Bank</w:t>
      </w:r>
      <w:r>
        <w:t xml:space="preserve"> is upgrading its Core Banking System to the </w:t>
      </w:r>
      <w:r w:rsidRPr="0018658C">
        <w:rPr>
          <w:b/>
        </w:rPr>
        <w:t>Finacle Core Banking system</w:t>
      </w:r>
      <w:r>
        <w:t xml:space="preserve"> that went live in Co-op Bank Kenya &amp; Co-op Bank South Sudan. The new core banking system will provide a modern, agile, and scalable foundation that supports Group synergy, innovation, operational efficiency, and superior customer experience.</w:t>
      </w:r>
    </w:p>
    <w:p w14:paraId="23CF201F" w14:textId="77777777" w:rsidR="00766F84" w:rsidRDefault="00766F84" w:rsidP="009C7084">
      <w:pPr>
        <w:pBdr>
          <w:bottom w:val="single" w:sz="4" w:space="1" w:color="auto"/>
        </w:pBdr>
        <w:spacing w:beforeLines="120" w:before="288" w:afterLines="120" w:after="288" w:line="240" w:lineRule="auto"/>
        <w:jc w:val="both"/>
      </w:pPr>
    </w:p>
    <w:p w14:paraId="5C0FFFDB" w14:textId="77777777" w:rsidR="00766F84" w:rsidRDefault="00B84264" w:rsidP="009C7084">
      <w:pPr>
        <w:spacing w:beforeLines="120" w:before="288" w:afterLines="120" w:after="288" w:line="240" w:lineRule="auto"/>
      </w:pPr>
      <w:r>
        <w:rPr>
          <w:b/>
        </w:rPr>
        <w:t>Youth Financial Services</w:t>
      </w:r>
    </w:p>
    <w:p w14:paraId="1B26ADE2" w14:textId="1B86F848" w:rsidR="00766F84" w:rsidRDefault="00B84264" w:rsidP="009C7084">
      <w:pPr>
        <w:spacing w:beforeLines="120" w:before="288" w:afterLines="120" w:after="288" w:line="240" w:lineRule="auto"/>
        <w:jc w:val="both"/>
      </w:pPr>
      <w:r>
        <w:t xml:space="preserve">The Group accelerated its youth banking agenda in H1 2026, anchored on a clear mission to transform the financial lives of young people and empower them to grow, as we position ourselves to serve over 10 million youth customers in the medium term. The </w:t>
      </w:r>
      <w:r>
        <w:rPr>
          <w:b/>
        </w:rPr>
        <w:t>Youth Financial Services Division</w:t>
      </w:r>
      <w:r>
        <w:t xml:space="preserve"> </w:t>
      </w:r>
      <w:r w:rsidR="0018658C">
        <w:t>was created to</w:t>
      </w:r>
      <w:r>
        <w:t xml:space="preserve"> </w:t>
      </w:r>
      <w:r w:rsidR="00277713">
        <w:t>reinforce</w:t>
      </w:r>
      <w:r w:rsidR="0018658C">
        <w:t xml:space="preserve"> our </w:t>
      </w:r>
      <w:r>
        <w:t>long-term commitment to building a market-leading, digitally driven youth franchise.</w:t>
      </w:r>
    </w:p>
    <w:p w14:paraId="3BED2ED6" w14:textId="77777777" w:rsidR="00F13893" w:rsidRDefault="00F13893" w:rsidP="009C7084">
      <w:pPr>
        <w:spacing w:beforeLines="120" w:before="288" w:afterLines="120" w:after="288" w:line="240" w:lineRule="auto"/>
        <w:jc w:val="both"/>
      </w:pPr>
    </w:p>
    <w:p w14:paraId="1E2F9231" w14:textId="77777777" w:rsidR="00F13893" w:rsidRDefault="00F13893" w:rsidP="009C7084">
      <w:pPr>
        <w:spacing w:beforeLines="120" w:before="288" w:afterLines="120" w:after="288" w:line="240" w:lineRule="auto"/>
        <w:jc w:val="both"/>
      </w:pPr>
    </w:p>
    <w:p w14:paraId="2F948362" w14:textId="77777777" w:rsidR="00F13893" w:rsidRDefault="00F13893" w:rsidP="009C7084">
      <w:pPr>
        <w:spacing w:beforeLines="120" w:before="288" w:afterLines="120" w:after="288" w:line="240" w:lineRule="auto"/>
        <w:jc w:val="both"/>
      </w:pPr>
    </w:p>
    <w:p w14:paraId="35E9828E" w14:textId="6D5E9853" w:rsidR="00766F84" w:rsidRDefault="00B84264" w:rsidP="009C7084">
      <w:pPr>
        <w:pStyle w:val="ListParagraph"/>
        <w:numPr>
          <w:ilvl w:val="0"/>
          <w:numId w:val="18"/>
        </w:numPr>
        <w:spacing w:beforeLines="120" w:before="288" w:afterLines="120" w:after="288" w:line="240" w:lineRule="auto"/>
        <w:contextualSpacing w:val="0"/>
        <w:jc w:val="both"/>
      </w:pPr>
      <w:r>
        <w:t xml:space="preserve">By H1 2026, the Bank had disbursed over </w:t>
      </w:r>
      <w:proofErr w:type="spellStart"/>
      <w:r w:rsidRPr="0018658C">
        <w:rPr>
          <w:b/>
        </w:rPr>
        <w:t>KSh</w:t>
      </w:r>
      <w:proofErr w:type="spellEnd"/>
      <w:r w:rsidRPr="0018658C">
        <w:rPr>
          <w:b/>
        </w:rPr>
        <w:t xml:space="preserve"> 27.0 billion</w:t>
      </w:r>
      <w:r>
        <w:t xml:space="preserve"> to youth customers, supporting </w:t>
      </w:r>
      <w:r w:rsidRPr="0018658C">
        <w:rPr>
          <w:b/>
        </w:rPr>
        <w:t>over 500,000 youth</w:t>
      </w:r>
      <w:r>
        <w:t xml:space="preserve"> in entrepreneurship</w:t>
      </w:r>
      <w:r w:rsidR="00B227F8">
        <w:t xml:space="preserve"> and </w:t>
      </w:r>
      <w:r>
        <w:t>business expansion.</w:t>
      </w:r>
    </w:p>
    <w:p w14:paraId="5A42580D" w14:textId="6AD24BE6" w:rsidR="00766F84" w:rsidRDefault="0018658C" w:rsidP="009C7084">
      <w:pPr>
        <w:pStyle w:val="ListParagraph"/>
        <w:numPr>
          <w:ilvl w:val="0"/>
          <w:numId w:val="18"/>
        </w:numPr>
        <w:spacing w:beforeLines="120" w:before="288" w:afterLines="120" w:after="288" w:line="240" w:lineRule="auto"/>
        <w:contextualSpacing w:val="0"/>
        <w:jc w:val="both"/>
      </w:pPr>
      <w:r>
        <w:t xml:space="preserve">We provided </w:t>
      </w:r>
      <w:r w:rsidRPr="0018658C">
        <w:rPr>
          <w:b/>
        </w:rPr>
        <w:t>over 150,000 young people</w:t>
      </w:r>
      <w:r>
        <w:t xml:space="preserve"> with access to financial literacy and empowerment </w:t>
      </w:r>
      <w:proofErr w:type="spellStart"/>
      <w:r>
        <w:t>programmes</w:t>
      </w:r>
      <w:proofErr w:type="spellEnd"/>
      <w:r>
        <w:t>, supporting informed financial decision-making</w:t>
      </w:r>
      <w:r w:rsidR="00B227F8">
        <w:t>.</w:t>
      </w:r>
    </w:p>
    <w:p w14:paraId="3E38DC17" w14:textId="1B8B4DDD" w:rsidR="00766F84" w:rsidRDefault="00B84264" w:rsidP="009C7084">
      <w:pPr>
        <w:pStyle w:val="ListParagraph"/>
        <w:numPr>
          <w:ilvl w:val="0"/>
          <w:numId w:val="18"/>
        </w:numPr>
        <w:spacing w:beforeLines="120" w:before="288" w:afterLines="120" w:after="288" w:line="240" w:lineRule="auto"/>
        <w:contextualSpacing w:val="0"/>
        <w:jc w:val="both"/>
      </w:pPr>
      <w:r>
        <w:t xml:space="preserve">The </w:t>
      </w:r>
      <w:r w:rsidR="00B227F8">
        <w:t xml:space="preserve">Customer Value Proposition </w:t>
      </w:r>
      <w:r>
        <w:t>provides young customers with convenient access to relevant financial solutions, including digital account opening, savings, investments, credit, financial literacy and business support.</w:t>
      </w:r>
    </w:p>
    <w:p w14:paraId="26603161" w14:textId="092A6283" w:rsidR="00766F84" w:rsidRDefault="00B84264" w:rsidP="009C7084">
      <w:pPr>
        <w:pStyle w:val="ListParagraph"/>
        <w:numPr>
          <w:ilvl w:val="0"/>
          <w:numId w:val="18"/>
        </w:numPr>
        <w:spacing w:beforeLines="120" w:before="288" w:afterLines="120" w:after="288" w:line="240" w:lineRule="auto"/>
        <w:contextualSpacing w:val="0"/>
        <w:jc w:val="both"/>
      </w:pPr>
      <w:r>
        <w:t xml:space="preserve">Powered by the </w:t>
      </w:r>
      <w:r w:rsidRPr="0018658C">
        <w:rPr>
          <w:b/>
        </w:rPr>
        <w:t>Co-op Bank App</w:t>
      </w:r>
      <w:r>
        <w:t xml:space="preserve">, the Bank has enabled fully digital access to </w:t>
      </w:r>
      <w:r w:rsidRPr="0018658C">
        <w:rPr>
          <w:b/>
        </w:rPr>
        <w:t>Money Market Fund</w:t>
      </w:r>
      <w:r>
        <w:t xml:space="preserve"> and </w:t>
      </w:r>
      <w:r w:rsidRPr="0018658C">
        <w:rPr>
          <w:b/>
        </w:rPr>
        <w:t>bond investment propositions</w:t>
      </w:r>
      <w:r>
        <w:t xml:space="preserve">, with over </w:t>
      </w:r>
      <w:proofErr w:type="spellStart"/>
      <w:r w:rsidRPr="0018658C">
        <w:rPr>
          <w:b/>
        </w:rPr>
        <w:t>KSh</w:t>
      </w:r>
      <w:proofErr w:type="spellEnd"/>
      <w:r w:rsidRPr="0018658C">
        <w:rPr>
          <w:b/>
        </w:rPr>
        <w:t xml:space="preserve"> 900.0 million</w:t>
      </w:r>
      <w:r>
        <w:t xml:space="preserve"> in youth assets under management.</w:t>
      </w:r>
    </w:p>
    <w:p w14:paraId="48C6089C" w14:textId="77777777" w:rsidR="003B4DB1" w:rsidRDefault="003B4DB1" w:rsidP="00F13893">
      <w:pPr>
        <w:pBdr>
          <w:top w:val="single" w:sz="4" w:space="1" w:color="auto"/>
        </w:pBdr>
        <w:spacing w:beforeLines="120" w:before="288" w:afterLines="120" w:after="288" w:line="240" w:lineRule="auto"/>
        <w:rPr>
          <w:b/>
        </w:rPr>
      </w:pPr>
    </w:p>
    <w:p w14:paraId="3523F215" w14:textId="6127A3DC" w:rsidR="00766F84" w:rsidRDefault="00B84264" w:rsidP="009C7084">
      <w:pPr>
        <w:spacing w:beforeLines="120" w:before="288" w:afterLines="120" w:after="288" w:line="240" w:lineRule="auto"/>
      </w:pPr>
      <w:r>
        <w:rPr>
          <w:b/>
        </w:rPr>
        <w:t>Performance of Subsidiaries</w:t>
      </w:r>
    </w:p>
    <w:p w14:paraId="3F0AE220" w14:textId="77777777" w:rsidR="00766F84" w:rsidRDefault="00B84264" w:rsidP="009C7084">
      <w:pPr>
        <w:spacing w:beforeLines="120" w:before="288" w:afterLines="120" w:after="288" w:line="240" w:lineRule="auto"/>
        <w:jc w:val="both"/>
      </w:pPr>
      <w:r>
        <w:t xml:space="preserve">The Group’s subsidiaries continued to make a positive contribution to performance, reinforcing the strength of the </w:t>
      </w:r>
      <w:r>
        <w:rPr>
          <w:b/>
        </w:rPr>
        <w:t>universal banking model</w:t>
      </w:r>
      <w:r>
        <w:t>.</w:t>
      </w:r>
    </w:p>
    <w:p w14:paraId="1F91BEF1" w14:textId="6142F065"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Kingdom Bank Ltd</w:t>
      </w:r>
      <w:r>
        <w:t xml:space="preserve"> posted </w:t>
      </w:r>
      <w:r w:rsidRPr="0018658C">
        <w:rPr>
          <w:b/>
        </w:rPr>
        <w:t>Profit Before Tax</w:t>
      </w:r>
      <w:r>
        <w:t xml:space="preserve"> of </w:t>
      </w:r>
      <w:proofErr w:type="spellStart"/>
      <w:r w:rsidRPr="0018658C">
        <w:rPr>
          <w:b/>
        </w:rPr>
        <w:t>KSh</w:t>
      </w:r>
      <w:proofErr w:type="spellEnd"/>
      <w:r w:rsidRPr="0018658C">
        <w:rPr>
          <w:b/>
        </w:rPr>
        <w:t xml:space="preserve"> 873.0 million</w:t>
      </w:r>
      <w:r>
        <w:t xml:space="preserve">, from </w:t>
      </w:r>
      <w:proofErr w:type="spellStart"/>
      <w:r w:rsidRPr="0018658C">
        <w:rPr>
          <w:b/>
        </w:rPr>
        <w:t>KSh</w:t>
      </w:r>
      <w:proofErr w:type="spellEnd"/>
      <w:r w:rsidRPr="0018658C">
        <w:rPr>
          <w:b/>
        </w:rPr>
        <w:t xml:space="preserve"> 491.1 million</w:t>
      </w:r>
      <w:r>
        <w:t xml:space="preserve"> in the previous period, representing growth of </w:t>
      </w:r>
      <w:r w:rsidRPr="0018658C">
        <w:rPr>
          <w:b/>
        </w:rPr>
        <w:t>77.8</w:t>
      </w:r>
      <w:r w:rsidR="00B227F8" w:rsidRPr="00B227F8">
        <w:rPr>
          <w:rFonts w:eastAsia="Calibri" w:cs="Tahoma"/>
          <w:szCs w:val="25"/>
        </w:rPr>
        <w:t xml:space="preserve"> </w:t>
      </w:r>
      <w:r w:rsidR="00B227F8" w:rsidRPr="00CE6FFE">
        <w:rPr>
          <w:rFonts w:eastAsia="Calibri" w:cs="Tahoma"/>
          <w:szCs w:val="25"/>
        </w:rPr>
        <w:t>per cent</w:t>
      </w:r>
      <w:r>
        <w:t>, supported by continued expansion in its retail and business banking segments.</w:t>
      </w:r>
    </w:p>
    <w:p w14:paraId="3556EACF" w14:textId="459C5C6E"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Co-op Bancassurance Intermediary Ltd</w:t>
      </w:r>
      <w:r>
        <w:t xml:space="preserve"> recorded </w:t>
      </w:r>
      <w:r w:rsidRPr="0018658C">
        <w:rPr>
          <w:b/>
        </w:rPr>
        <w:t>Profit Before Tax</w:t>
      </w:r>
      <w:r>
        <w:t xml:space="preserve"> of </w:t>
      </w:r>
      <w:proofErr w:type="spellStart"/>
      <w:r w:rsidRPr="0018658C">
        <w:rPr>
          <w:b/>
        </w:rPr>
        <w:t>KSh</w:t>
      </w:r>
      <w:proofErr w:type="spellEnd"/>
      <w:r w:rsidRPr="0018658C">
        <w:rPr>
          <w:b/>
        </w:rPr>
        <w:t xml:space="preserve"> 812.7 million</w:t>
      </w:r>
      <w:r>
        <w:t>, supported by deeper insurance penetration across the customer base.</w:t>
      </w:r>
    </w:p>
    <w:p w14:paraId="627AD712" w14:textId="5B46B171" w:rsidR="00766F84" w:rsidRDefault="00B84264" w:rsidP="009C7084">
      <w:pPr>
        <w:pStyle w:val="ListParagraph"/>
        <w:numPr>
          <w:ilvl w:val="0"/>
          <w:numId w:val="18"/>
        </w:numPr>
        <w:spacing w:beforeLines="120" w:before="288" w:afterLines="120" w:after="288" w:line="240" w:lineRule="auto"/>
        <w:contextualSpacing w:val="0"/>
        <w:jc w:val="both"/>
      </w:pPr>
      <w:proofErr w:type="spellStart"/>
      <w:r w:rsidRPr="0018658C">
        <w:rPr>
          <w:b/>
        </w:rPr>
        <w:t>Co-optrust</w:t>
      </w:r>
      <w:proofErr w:type="spellEnd"/>
      <w:r w:rsidRPr="0018658C">
        <w:rPr>
          <w:b/>
        </w:rPr>
        <w:t xml:space="preserve"> Investment Services Ltd</w:t>
      </w:r>
      <w:r>
        <w:t xml:space="preserve">, our fund management business, delivered strong growth with </w:t>
      </w:r>
      <w:r w:rsidRPr="0018658C">
        <w:rPr>
          <w:b/>
        </w:rPr>
        <w:t>Funds Under Management</w:t>
      </w:r>
      <w:r>
        <w:t xml:space="preserve"> of </w:t>
      </w:r>
      <w:proofErr w:type="spellStart"/>
      <w:r w:rsidRPr="0018658C">
        <w:rPr>
          <w:b/>
        </w:rPr>
        <w:t>KSh</w:t>
      </w:r>
      <w:proofErr w:type="spellEnd"/>
      <w:r w:rsidRPr="0018658C">
        <w:rPr>
          <w:b/>
        </w:rPr>
        <w:t xml:space="preserve"> 505.2 billion</w:t>
      </w:r>
      <w:r>
        <w:t xml:space="preserve">. </w:t>
      </w:r>
      <w:r w:rsidRPr="0018658C">
        <w:rPr>
          <w:b/>
        </w:rPr>
        <w:t>Profit Before Tax</w:t>
      </w:r>
      <w:r>
        <w:t xml:space="preserve"> grew to </w:t>
      </w:r>
      <w:proofErr w:type="spellStart"/>
      <w:r w:rsidRPr="0018658C">
        <w:rPr>
          <w:b/>
        </w:rPr>
        <w:t>KSh</w:t>
      </w:r>
      <w:proofErr w:type="spellEnd"/>
      <w:r w:rsidRPr="0018658C">
        <w:rPr>
          <w:b/>
        </w:rPr>
        <w:t xml:space="preserve"> 640.5 million</w:t>
      </w:r>
      <w:r>
        <w:t xml:space="preserve">, representing growth of </w:t>
      </w:r>
      <w:r w:rsidRPr="0018658C">
        <w:rPr>
          <w:b/>
        </w:rPr>
        <w:t>77.5</w:t>
      </w:r>
      <w:r w:rsidR="00B227F8" w:rsidRPr="00B227F8">
        <w:rPr>
          <w:rFonts w:eastAsia="Calibri" w:cs="Tahoma"/>
          <w:szCs w:val="25"/>
        </w:rPr>
        <w:t xml:space="preserve"> </w:t>
      </w:r>
      <w:r w:rsidR="00B227F8" w:rsidRPr="00CE6FFE">
        <w:rPr>
          <w:rFonts w:eastAsia="Calibri" w:cs="Tahoma"/>
          <w:szCs w:val="25"/>
        </w:rPr>
        <w:t>per cent</w:t>
      </w:r>
      <w:r>
        <w:t xml:space="preserve"> from </w:t>
      </w:r>
      <w:proofErr w:type="spellStart"/>
      <w:r w:rsidRPr="0018658C">
        <w:rPr>
          <w:b/>
        </w:rPr>
        <w:t>KSh</w:t>
      </w:r>
      <w:proofErr w:type="spellEnd"/>
      <w:r w:rsidRPr="0018658C">
        <w:rPr>
          <w:b/>
        </w:rPr>
        <w:t xml:space="preserve"> 360.8 million</w:t>
      </w:r>
      <w:r>
        <w:t xml:space="preserve"> in H1 2025.</w:t>
      </w:r>
    </w:p>
    <w:p w14:paraId="1D99BF82" w14:textId="7C8FD103"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Co-op Bank of South Sudan Ltd</w:t>
      </w:r>
      <w:r>
        <w:t xml:space="preserve"> recorded </w:t>
      </w:r>
      <w:r w:rsidRPr="0018658C">
        <w:rPr>
          <w:b/>
        </w:rPr>
        <w:t>Profit Before Tax</w:t>
      </w:r>
      <w:r>
        <w:t xml:space="preserve"> of </w:t>
      </w:r>
      <w:proofErr w:type="spellStart"/>
      <w:r w:rsidRPr="0018658C">
        <w:rPr>
          <w:b/>
        </w:rPr>
        <w:t>KSh</w:t>
      </w:r>
      <w:proofErr w:type="spellEnd"/>
      <w:r w:rsidRPr="0018658C">
        <w:rPr>
          <w:b/>
        </w:rPr>
        <w:t xml:space="preserve"> 224.0 million</w:t>
      </w:r>
      <w:r>
        <w:t xml:space="preserve">, compared to </w:t>
      </w:r>
      <w:proofErr w:type="spellStart"/>
      <w:r w:rsidRPr="0018658C">
        <w:rPr>
          <w:b/>
        </w:rPr>
        <w:t>KSh</w:t>
      </w:r>
      <w:proofErr w:type="spellEnd"/>
      <w:r w:rsidRPr="0018658C">
        <w:rPr>
          <w:b/>
        </w:rPr>
        <w:t xml:space="preserve"> 56.9 million</w:t>
      </w:r>
      <w:r>
        <w:t xml:space="preserve"> in H1 2025, reflecting improved performance in the face of a dynamic operating environment.</w:t>
      </w:r>
    </w:p>
    <w:p w14:paraId="2E549C45" w14:textId="74E672A3"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Kingdom Securities Ltd</w:t>
      </w:r>
      <w:r>
        <w:t xml:space="preserve"> delivered </w:t>
      </w:r>
      <w:r w:rsidRPr="0018658C">
        <w:rPr>
          <w:b/>
        </w:rPr>
        <w:t>Profit Before Tax</w:t>
      </w:r>
      <w:r>
        <w:t xml:space="preserve"> of </w:t>
      </w:r>
      <w:proofErr w:type="spellStart"/>
      <w:r w:rsidRPr="0018658C">
        <w:rPr>
          <w:b/>
        </w:rPr>
        <w:t>KSh</w:t>
      </w:r>
      <w:proofErr w:type="spellEnd"/>
      <w:r w:rsidRPr="0018658C">
        <w:rPr>
          <w:b/>
        </w:rPr>
        <w:t xml:space="preserve"> 77.9 million</w:t>
      </w:r>
      <w:r>
        <w:t xml:space="preserve">, compared to </w:t>
      </w:r>
      <w:proofErr w:type="spellStart"/>
      <w:r w:rsidRPr="0018658C">
        <w:rPr>
          <w:b/>
        </w:rPr>
        <w:t>KSh</w:t>
      </w:r>
      <w:proofErr w:type="spellEnd"/>
      <w:r w:rsidRPr="0018658C">
        <w:rPr>
          <w:b/>
        </w:rPr>
        <w:t xml:space="preserve"> 63.2 million</w:t>
      </w:r>
      <w:r>
        <w:t xml:space="preserve"> in H1 2025, representing growth of </w:t>
      </w:r>
      <w:r w:rsidRPr="0018658C">
        <w:rPr>
          <w:b/>
        </w:rPr>
        <w:t>23.3</w:t>
      </w:r>
      <w:r w:rsidR="00B227F8" w:rsidRPr="00B227F8">
        <w:rPr>
          <w:rFonts w:eastAsia="Calibri" w:cs="Tahoma"/>
          <w:szCs w:val="25"/>
        </w:rPr>
        <w:t xml:space="preserve"> </w:t>
      </w:r>
      <w:r w:rsidR="00B227F8" w:rsidRPr="00CE6FFE">
        <w:rPr>
          <w:rFonts w:eastAsia="Calibri" w:cs="Tahoma"/>
          <w:szCs w:val="25"/>
        </w:rPr>
        <w:t>per cent</w:t>
      </w:r>
      <w:r>
        <w:t>, driven by increased activity in the capital markets.</w:t>
      </w:r>
    </w:p>
    <w:p w14:paraId="7EFBC5D3" w14:textId="77777777" w:rsidR="00766F84" w:rsidRDefault="00766F84" w:rsidP="009C7084">
      <w:pPr>
        <w:pBdr>
          <w:bottom w:val="single" w:sz="4" w:space="1" w:color="auto"/>
        </w:pBdr>
        <w:spacing w:beforeLines="120" w:before="288" w:afterLines="120" w:after="288" w:line="240" w:lineRule="auto"/>
        <w:jc w:val="both"/>
      </w:pPr>
    </w:p>
    <w:p w14:paraId="1BE129CA" w14:textId="77777777" w:rsidR="00766F84" w:rsidRDefault="00B84264" w:rsidP="009C7084">
      <w:pPr>
        <w:spacing w:beforeLines="120" w:before="288" w:afterLines="120" w:after="288" w:line="240" w:lineRule="auto"/>
      </w:pPr>
      <w:r>
        <w:rPr>
          <w:b/>
        </w:rPr>
        <w:t>Sustainability, ESG and Impact</w:t>
      </w:r>
    </w:p>
    <w:p w14:paraId="280CE0DC" w14:textId="77777777" w:rsidR="00766F84" w:rsidRDefault="00B84264" w:rsidP="009C7084">
      <w:pPr>
        <w:spacing w:beforeLines="120" w:before="288" w:afterLines="120" w:after="288" w:line="240" w:lineRule="auto"/>
        <w:jc w:val="both"/>
      </w:pPr>
      <w:r>
        <w:t>The Group continued to strengthen its commitment to sustainable banking and responsible growth, embedding environmental, social and governance principles across its operations and strategy.</w:t>
      </w:r>
    </w:p>
    <w:p w14:paraId="24BC3670" w14:textId="77777777" w:rsidR="00F13893" w:rsidRDefault="00F13893" w:rsidP="00F13893">
      <w:pPr>
        <w:pStyle w:val="ListParagraph"/>
        <w:spacing w:beforeLines="120" w:before="288" w:afterLines="120" w:after="288" w:line="240" w:lineRule="auto"/>
        <w:ind w:left="360"/>
        <w:contextualSpacing w:val="0"/>
        <w:jc w:val="both"/>
      </w:pPr>
    </w:p>
    <w:p w14:paraId="6C429E81" w14:textId="77777777" w:rsidR="00F13893" w:rsidRDefault="00F13893" w:rsidP="00F13893">
      <w:pPr>
        <w:pStyle w:val="ListParagraph"/>
        <w:spacing w:beforeLines="120" w:before="288" w:afterLines="120" w:after="288" w:line="240" w:lineRule="auto"/>
        <w:ind w:left="360"/>
        <w:contextualSpacing w:val="0"/>
        <w:jc w:val="both"/>
      </w:pPr>
    </w:p>
    <w:p w14:paraId="111B0D6D" w14:textId="3C04F1C7" w:rsidR="00766F84" w:rsidRDefault="00B84264" w:rsidP="009C7084">
      <w:pPr>
        <w:pStyle w:val="ListParagraph"/>
        <w:numPr>
          <w:ilvl w:val="0"/>
          <w:numId w:val="18"/>
        </w:numPr>
        <w:spacing w:beforeLines="120" w:before="288" w:afterLines="120" w:after="288" w:line="240" w:lineRule="auto"/>
        <w:contextualSpacing w:val="0"/>
        <w:jc w:val="both"/>
      </w:pPr>
      <w:r>
        <w:t xml:space="preserve">During the period, the Bank continued to make progress in </w:t>
      </w:r>
      <w:r w:rsidRPr="0018658C">
        <w:rPr>
          <w:b/>
        </w:rPr>
        <w:t>climate risk management</w:t>
      </w:r>
      <w:r>
        <w:t xml:space="preserve">, with ongoing alignment to </w:t>
      </w:r>
      <w:r w:rsidRPr="0018658C">
        <w:rPr>
          <w:b/>
        </w:rPr>
        <w:t>IFRS S1 and S2</w:t>
      </w:r>
      <w:r>
        <w:t xml:space="preserve"> and the </w:t>
      </w:r>
      <w:r w:rsidRPr="0018658C">
        <w:rPr>
          <w:b/>
        </w:rPr>
        <w:t>Kenya Green Finance Taxonomy</w:t>
      </w:r>
      <w:r>
        <w:t>. This is supporting the integration of climate considerations into risk management, business decisions and long-term planning.</w:t>
      </w:r>
    </w:p>
    <w:p w14:paraId="55DEB63C" w14:textId="108E20F9" w:rsidR="00766F84" w:rsidRDefault="00B84264" w:rsidP="009C7084">
      <w:pPr>
        <w:pStyle w:val="ListParagraph"/>
        <w:numPr>
          <w:ilvl w:val="0"/>
          <w:numId w:val="18"/>
        </w:numPr>
        <w:spacing w:beforeLines="120" w:before="288" w:afterLines="120" w:after="288" w:line="240" w:lineRule="auto"/>
        <w:contextualSpacing w:val="0"/>
        <w:jc w:val="both"/>
      </w:pPr>
      <w:r>
        <w:t xml:space="preserve">The Bank continued to strengthen its </w:t>
      </w:r>
      <w:r w:rsidRPr="0018658C">
        <w:rPr>
          <w:b/>
        </w:rPr>
        <w:t>sustainability reporting and disclosure readiness</w:t>
      </w:r>
      <w:r>
        <w:t>, with a focus on providing clear, useful and reliable information on long-term value creation, climate resilience and sustainability impact.</w:t>
      </w:r>
    </w:p>
    <w:p w14:paraId="5C01F902" w14:textId="038CF7B6" w:rsidR="00766F84" w:rsidRDefault="00B84264" w:rsidP="009C7084">
      <w:pPr>
        <w:pStyle w:val="ListParagraph"/>
        <w:numPr>
          <w:ilvl w:val="0"/>
          <w:numId w:val="18"/>
        </w:numPr>
        <w:spacing w:beforeLines="120" w:before="288" w:afterLines="120" w:after="288" w:line="240" w:lineRule="auto"/>
        <w:contextualSpacing w:val="0"/>
        <w:jc w:val="both"/>
      </w:pPr>
      <w:r>
        <w:t xml:space="preserve">Through the </w:t>
      </w:r>
      <w:r w:rsidRPr="626BB642">
        <w:rPr>
          <w:b/>
          <w:bCs/>
        </w:rPr>
        <w:t>Co-op Bank Foundation</w:t>
      </w:r>
      <w:r>
        <w:t xml:space="preserve">, the Group continued to support access to education, with to-date </w:t>
      </w:r>
      <w:r w:rsidRPr="626BB642">
        <w:rPr>
          <w:b/>
          <w:bCs/>
        </w:rPr>
        <w:t>12,601 students</w:t>
      </w:r>
      <w:r>
        <w:t xml:space="preserve"> benefiting from the scholarship </w:t>
      </w:r>
      <w:proofErr w:type="spellStart"/>
      <w:r>
        <w:t>programme</w:t>
      </w:r>
      <w:proofErr w:type="spellEnd"/>
      <w:r>
        <w:t>.</w:t>
      </w:r>
    </w:p>
    <w:p w14:paraId="3AE6450A" w14:textId="78DD24F9" w:rsidR="7E46F93A" w:rsidRDefault="7E46F93A" w:rsidP="626BB642">
      <w:pPr>
        <w:pStyle w:val="ListParagraph"/>
        <w:numPr>
          <w:ilvl w:val="0"/>
          <w:numId w:val="18"/>
        </w:numPr>
        <w:spacing w:beforeLines="120" w:before="288" w:afterLines="120" w:after="288" w:line="240" w:lineRule="auto"/>
        <w:contextualSpacing w:val="0"/>
        <w:jc w:val="both"/>
      </w:pPr>
      <w:r w:rsidRPr="000CC2F6">
        <w:rPr>
          <w:b/>
          <w:bCs/>
        </w:rPr>
        <w:t xml:space="preserve">Through </w:t>
      </w:r>
      <w:r w:rsidRPr="626BB642">
        <w:rPr>
          <w:b/>
          <w:bCs/>
        </w:rPr>
        <w:t>Co-</w:t>
      </w:r>
      <w:r w:rsidRPr="000CC2F6">
        <w:rPr>
          <w:b/>
          <w:bCs/>
        </w:rPr>
        <w:t>op</w:t>
      </w:r>
      <w:r w:rsidRPr="626BB642">
        <w:rPr>
          <w:b/>
          <w:bCs/>
        </w:rPr>
        <w:t xml:space="preserve"> Bank Foundation</w:t>
      </w:r>
      <w:r w:rsidRPr="000CC2F6">
        <w:rPr>
          <w:b/>
          <w:bCs/>
        </w:rPr>
        <w:t xml:space="preserve"> we have</w:t>
      </w:r>
      <w:r w:rsidRPr="626BB642">
        <w:t xml:space="preserve"> supported the renovation of </w:t>
      </w:r>
      <w:r w:rsidRPr="626BB642">
        <w:rPr>
          <w:b/>
          <w:bCs/>
        </w:rPr>
        <w:t>Kenyatta National Hospital (KNH) Orthopaedic Wards</w:t>
      </w:r>
      <w:r w:rsidRPr="626BB642">
        <w:t xml:space="preserve">, assisting in the increase of inpatient capacity by approximately </w:t>
      </w:r>
      <w:r w:rsidRPr="626BB642">
        <w:rPr>
          <w:b/>
          <w:bCs/>
        </w:rPr>
        <w:t>150 beds</w:t>
      </w:r>
      <w:r w:rsidRPr="626BB642">
        <w:t xml:space="preserve"> and enhancing access to specialized healthcare services.</w:t>
      </w:r>
    </w:p>
    <w:p w14:paraId="52BA9A11" w14:textId="5EBCD673" w:rsidR="00766F84" w:rsidRDefault="00B84264" w:rsidP="009C7084">
      <w:pPr>
        <w:pStyle w:val="ListParagraph"/>
        <w:numPr>
          <w:ilvl w:val="0"/>
          <w:numId w:val="18"/>
        </w:numPr>
        <w:spacing w:beforeLines="120" w:before="288" w:afterLines="120" w:after="288" w:line="240" w:lineRule="auto"/>
        <w:contextualSpacing w:val="0"/>
        <w:jc w:val="both"/>
      </w:pPr>
      <w:r>
        <w:t xml:space="preserve">The Bank also continued to strengthen the co-operative movement and enterprise ecosystem, supporting </w:t>
      </w:r>
      <w:r w:rsidRPr="0018658C">
        <w:rPr>
          <w:b/>
        </w:rPr>
        <w:t>3,960 co-operative advisory mandates</w:t>
      </w:r>
      <w:r>
        <w:t xml:space="preserve"> as at H1 2026, covering targeted capacity-building engagements and advisory support.</w:t>
      </w:r>
    </w:p>
    <w:p w14:paraId="5BB55DEF" w14:textId="77777777" w:rsidR="00766F84" w:rsidRDefault="00766F84" w:rsidP="009C7084">
      <w:pPr>
        <w:pBdr>
          <w:bottom w:val="single" w:sz="4" w:space="1" w:color="auto"/>
        </w:pBdr>
        <w:spacing w:beforeLines="120" w:before="288" w:afterLines="120" w:after="288" w:line="240" w:lineRule="auto"/>
        <w:ind w:left="90"/>
        <w:jc w:val="both"/>
      </w:pPr>
    </w:p>
    <w:p w14:paraId="57E178E8" w14:textId="77777777" w:rsidR="00766F84" w:rsidRDefault="00B84264" w:rsidP="009C7084">
      <w:pPr>
        <w:spacing w:beforeLines="120" w:before="288" w:afterLines="120" w:after="288" w:line="240" w:lineRule="auto"/>
      </w:pPr>
      <w:r>
        <w:rPr>
          <w:b/>
        </w:rPr>
        <w:t>Awards and Recognition</w:t>
      </w:r>
    </w:p>
    <w:p w14:paraId="7FE84960" w14:textId="77777777" w:rsidR="00766F84" w:rsidRDefault="00B84264" w:rsidP="009C7084">
      <w:pPr>
        <w:spacing w:beforeLines="120" w:before="288" w:afterLines="120" w:after="288" w:line="240" w:lineRule="auto"/>
        <w:jc w:val="both"/>
      </w:pPr>
      <w:r>
        <w:t>The Group’s strong performance, innovation and operational excellence continued to receive recognition across key regional and global platforms.</w:t>
      </w:r>
    </w:p>
    <w:p w14:paraId="2B18EB60" w14:textId="692934EF" w:rsidR="0018658C" w:rsidRDefault="0018658C" w:rsidP="009C7084">
      <w:pPr>
        <w:pStyle w:val="ListParagraph"/>
        <w:numPr>
          <w:ilvl w:val="0"/>
          <w:numId w:val="18"/>
        </w:numPr>
        <w:spacing w:beforeLines="120" w:before="288" w:afterLines="120" w:after="288" w:line="240" w:lineRule="auto"/>
        <w:contextualSpacing w:val="0"/>
        <w:jc w:val="both"/>
      </w:pPr>
      <w:r>
        <w:t xml:space="preserve">The Bank was </w:t>
      </w:r>
      <w:proofErr w:type="spellStart"/>
      <w:r>
        <w:t>recognised</w:t>
      </w:r>
      <w:proofErr w:type="spellEnd"/>
      <w:r>
        <w:t xml:space="preserve"> as </w:t>
      </w:r>
      <w:r w:rsidRPr="0018658C">
        <w:rPr>
          <w:b/>
        </w:rPr>
        <w:t>Kenya’s Best Retail Bank</w:t>
      </w:r>
      <w:r>
        <w:t xml:space="preserve"> and </w:t>
      </w:r>
      <w:r w:rsidRPr="0018658C">
        <w:rPr>
          <w:b/>
        </w:rPr>
        <w:t>Kenya’s Best Digital Bank</w:t>
      </w:r>
      <w:r>
        <w:t xml:space="preserve"> at the </w:t>
      </w:r>
      <w:r w:rsidRPr="0018658C">
        <w:rPr>
          <w:b/>
        </w:rPr>
        <w:t>Euromoney Awards for Excellence 2026</w:t>
      </w:r>
      <w:r>
        <w:t>.</w:t>
      </w:r>
    </w:p>
    <w:p w14:paraId="0D53D3B3" w14:textId="082C1561"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Global Finance</w:t>
      </w:r>
      <w:r>
        <w:t xml:space="preserve"> named Co-op Bank the </w:t>
      </w:r>
      <w:r w:rsidRPr="0018658C">
        <w:rPr>
          <w:b/>
        </w:rPr>
        <w:t>Best Bank in Kenya 2026</w:t>
      </w:r>
      <w:r>
        <w:t>, reflecting the Bank’s continued leadership in digital transformation, customer-led innovation, impactful financial solutions and sustained value creation.</w:t>
      </w:r>
    </w:p>
    <w:p w14:paraId="52D37E65" w14:textId="2A9BA52F" w:rsidR="0018658C" w:rsidRDefault="0018658C" w:rsidP="009C7084">
      <w:pPr>
        <w:pStyle w:val="ListParagraph"/>
        <w:numPr>
          <w:ilvl w:val="0"/>
          <w:numId w:val="18"/>
        </w:numPr>
        <w:spacing w:beforeLines="120" w:before="288" w:afterLines="120" w:after="288" w:line="240" w:lineRule="auto"/>
        <w:contextualSpacing w:val="0"/>
        <w:jc w:val="both"/>
      </w:pPr>
      <w:r>
        <w:t xml:space="preserve">The Bank was named </w:t>
      </w:r>
      <w:r w:rsidRPr="0018658C">
        <w:rPr>
          <w:b/>
        </w:rPr>
        <w:t>SME Bank of the Year 2026</w:t>
      </w:r>
      <w:r>
        <w:t xml:space="preserve"> at the </w:t>
      </w:r>
      <w:r w:rsidRPr="0018658C">
        <w:rPr>
          <w:b/>
        </w:rPr>
        <w:t>African Banker Awards</w:t>
      </w:r>
      <w:r>
        <w:t>, reinforcing its leadership in supporting enterprise growth and financial inclusion.</w:t>
      </w:r>
    </w:p>
    <w:p w14:paraId="5A5EF265" w14:textId="49501A70" w:rsidR="0018658C" w:rsidRDefault="0018658C" w:rsidP="009C7084">
      <w:pPr>
        <w:pStyle w:val="ListParagraph"/>
        <w:numPr>
          <w:ilvl w:val="0"/>
          <w:numId w:val="18"/>
        </w:numPr>
        <w:spacing w:beforeLines="120" w:before="288" w:afterLines="120" w:after="288" w:line="240" w:lineRule="auto"/>
        <w:contextualSpacing w:val="0"/>
        <w:jc w:val="both"/>
      </w:pPr>
      <w:r>
        <w:t xml:space="preserve">The Bank was ranked among </w:t>
      </w:r>
      <w:r w:rsidRPr="0018658C">
        <w:rPr>
          <w:b/>
        </w:rPr>
        <w:t>Africa’s Fastest Growing Companies 2026</w:t>
      </w:r>
      <w:r>
        <w:t xml:space="preserve"> by </w:t>
      </w:r>
      <w:r w:rsidRPr="0018658C">
        <w:rPr>
          <w:b/>
        </w:rPr>
        <w:t>Statista</w:t>
      </w:r>
      <w:r>
        <w:t>.</w:t>
      </w:r>
    </w:p>
    <w:p w14:paraId="291C4EDD" w14:textId="6939AE73" w:rsidR="00766F84" w:rsidRDefault="00B84264" w:rsidP="009C7084">
      <w:pPr>
        <w:pStyle w:val="ListParagraph"/>
        <w:numPr>
          <w:ilvl w:val="0"/>
          <w:numId w:val="18"/>
        </w:numPr>
        <w:spacing w:beforeLines="120" w:before="288" w:afterLines="120" w:after="288" w:line="240" w:lineRule="auto"/>
        <w:contextualSpacing w:val="0"/>
        <w:jc w:val="both"/>
      </w:pPr>
      <w:r>
        <w:t xml:space="preserve">The Bank was also named </w:t>
      </w:r>
      <w:r w:rsidRPr="0018658C">
        <w:rPr>
          <w:b/>
        </w:rPr>
        <w:t>Digital Banking Inclusion Leader – East Africa</w:t>
      </w:r>
      <w:r>
        <w:t xml:space="preserve"> by </w:t>
      </w:r>
      <w:r w:rsidRPr="0018658C">
        <w:rPr>
          <w:b/>
        </w:rPr>
        <w:t>CFI</w:t>
      </w:r>
      <w:r>
        <w:t xml:space="preserve">, and </w:t>
      </w:r>
      <w:r w:rsidRPr="0018658C">
        <w:rPr>
          <w:b/>
        </w:rPr>
        <w:t>Best Commercial Bank of the Year – Kenya</w:t>
      </w:r>
      <w:r>
        <w:t xml:space="preserve"> at the </w:t>
      </w:r>
      <w:r w:rsidRPr="0018658C">
        <w:rPr>
          <w:b/>
        </w:rPr>
        <w:t>International Banker 2026 Africa &amp; North Africa Banking Awards</w:t>
      </w:r>
      <w:r>
        <w:t>.</w:t>
      </w:r>
    </w:p>
    <w:p w14:paraId="4EDD681E" w14:textId="77777777" w:rsidR="00766F84" w:rsidRDefault="00766F84" w:rsidP="009C7084">
      <w:pPr>
        <w:pBdr>
          <w:bottom w:val="single" w:sz="4" w:space="1" w:color="auto"/>
        </w:pBdr>
        <w:spacing w:beforeLines="120" w:before="288" w:afterLines="120" w:after="288" w:line="240" w:lineRule="auto"/>
        <w:jc w:val="both"/>
      </w:pPr>
    </w:p>
    <w:p w14:paraId="29B99133" w14:textId="77777777" w:rsidR="003B4DB1" w:rsidRDefault="003B4DB1" w:rsidP="009C7084">
      <w:pPr>
        <w:spacing w:beforeLines="120" w:before="288" w:afterLines="120" w:after="288" w:line="240" w:lineRule="auto"/>
        <w:rPr>
          <w:b/>
        </w:rPr>
      </w:pPr>
    </w:p>
    <w:p w14:paraId="4F9D582C" w14:textId="77777777" w:rsidR="00F13893" w:rsidRDefault="00F13893" w:rsidP="009C7084">
      <w:pPr>
        <w:spacing w:beforeLines="120" w:before="288" w:afterLines="120" w:after="288" w:line="240" w:lineRule="auto"/>
        <w:rPr>
          <w:b/>
        </w:rPr>
      </w:pPr>
    </w:p>
    <w:p w14:paraId="1EF01CEB" w14:textId="52C7A1F7" w:rsidR="00766F84" w:rsidRDefault="00B84264" w:rsidP="009C7084">
      <w:pPr>
        <w:spacing w:beforeLines="120" w:before="288" w:afterLines="120" w:after="288" w:line="240" w:lineRule="auto"/>
      </w:pPr>
      <w:r>
        <w:rPr>
          <w:b/>
        </w:rPr>
        <w:t>Conclusion</w:t>
      </w:r>
    </w:p>
    <w:p w14:paraId="7C922AED" w14:textId="77777777" w:rsidR="00766F84" w:rsidRDefault="00B84264" w:rsidP="009C7084">
      <w:pPr>
        <w:spacing w:beforeLines="120" w:before="288" w:afterLines="120" w:after="288" w:line="240" w:lineRule="auto"/>
        <w:jc w:val="both"/>
      </w:pPr>
      <w:r>
        <w:t>Co-operative Bank Group remains steadfast in advancing its strategic priorities, firmly grounded in resilience and growth across diverse economic sectors. Our success is driven by:</w:t>
      </w:r>
    </w:p>
    <w:p w14:paraId="0E85B1D9" w14:textId="25576E19" w:rsidR="00766F84" w:rsidRDefault="00B84264" w:rsidP="009C7084">
      <w:pPr>
        <w:pStyle w:val="ListParagraph"/>
        <w:numPr>
          <w:ilvl w:val="0"/>
          <w:numId w:val="18"/>
        </w:numPr>
        <w:spacing w:beforeLines="120" w:before="288" w:afterLines="120" w:after="288" w:line="240" w:lineRule="auto"/>
        <w:contextualSpacing w:val="0"/>
        <w:jc w:val="both"/>
      </w:pPr>
      <w:r w:rsidRPr="0018658C">
        <w:rPr>
          <w:b/>
        </w:rPr>
        <w:t>Distinctive customer experience</w:t>
      </w:r>
      <w:r>
        <w:t xml:space="preserve"> – ‘</w:t>
      </w:r>
      <w:r w:rsidRPr="0018658C">
        <w:rPr>
          <w:b/>
        </w:rPr>
        <w:t>The Co-op Bank Way</w:t>
      </w:r>
      <w:r>
        <w:t>’: Delivering exceptional experiences through a deeply embedded, consistent customer-centric culture across all touchpoints.</w:t>
      </w:r>
    </w:p>
    <w:p w14:paraId="3A048D1A" w14:textId="603EBA35" w:rsidR="00766F84" w:rsidRDefault="00B84264" w:rsidP="009C7084">
      <w:pPr>
        <w:pStyle w:val="ListParagraph"/>
        <w:numPr>
          <w:ilvl w:val="0"/>
          <w:numId w:val="18"/>
        </w:numPr>
        <w:spacing w:beforeLines="120" w:before="288" w:afterLines="120" w:after="288" w:line="240" w:lineRule="auto"/>
        <w:contextualSpacing w:val="0"/>
        <w:jc w:val="both"/>
      </w:pPr>
      <w:r>
        <w:t xml:space="preserve">A </w:t>
      </w:r>
      <w:r w:rsidRPr="0018658C">
        <w:rPr>
          <w:b/>
        </w:rPr>
        <w:t>universal banking model</w:t>
      </w:r>
      <w:r>
        <w:t xml:space="preserve"> that balances comprehensive service offerings with operational agility.</w:t>
      </w:r>
    </w:p>
    <w:p w14:paraId="5BA5EBEB" w14:textId="0EAFC3A1" w:rsidR="00766F84" w:rsidRDefault="00B84264" w:rsidP="009C7084">
      <w:pPr>
        <w:pStyle w:val="ListParagraph"/>
        <w:numPr>
          <w:ilvl w:val="0"/>
          <w:numId w:val="18"/>
        </w:numPr>
        <w:spacing w:beforeLines="120" w:before="288" w:afterLines="120" w:after="288" w:line="240" w:lineRule="auto"/>
        <w:contextualSpacing w:val="0"/>
        <w:jc w:val="both"/>
      </w:pPr>
      <w:r>
        <w:t xml:space="preserve">A </w:t>
      </w:r>
      <w:r w:rsidRPr="0018658C">
        <w:rPr>
          <w:b/>
        </w:rPr>
        <w:t>robust digital presence</w:t>
      </w:r>
      <w:r>
        <w:t xml:space="preserve"> that ensures seamless accessibility, supported by an industry-leading </w:t>
      </w:r>
      <w:r w:rsidRPr="0018658C">
        <w:rPr>
          <w:b/>
        </w:rPr>
        <w:t>omni-channel platform</w:t>
      </w:r>
      <w:r>
        <w:t>.</w:t>
      </w:r>
    </w:p>
    <w:p w14:paraId="07588F89" w14:textId="120A049E" w:rsidR="00766F84" w:rsidRDefault="00B84264" w:rsidP="009C7084">
      <w:pPr>
        <w:pStyle w:val="ListParagraph"/>
        <w:numPr>
          <w:ilvl w:val="0"/>
          <w:numId w:val="18"/>
        </w:numPr>
        <w:spacing w:beforeLines="120" w:before="288" w:afterLines="120" w:after="288" w:line="240" w:lineRule="auto"/>
        <w:contextualSpacing w:val="0"/>
        <w:jc w:val="both"/>
      </w:pPr>
      <w:r>
        <w:t xml:space="preserve">An </w:t>
      </w:r>
      <w:r w:rsidRPr="0018658C">
        <w:rPr>
          <w:b/>
        </w:rPr>
        <w:t>extensive physical footprint</w:t>
      </w:r>
      <w:r>
        <w:t xml:space="preserve"> comprising a countrywide branch network, ATMs and agency outlets, fortifying our reach across all regions of the country.</w:t>
      </w:r>
    </w:p>
    <w:p w14:paraId="6B87233A" w14:textId="3051BD88" w:rsidR="00766F84" w:rsidRDefault="00B84264" w:rsidP="009C7084">
      <w:pPr>
        <w:pStyle w:val="ListParagraph"/>
        <w:numPr>
          <w:ilvl w:val="0"/>
          <w:numId w:val="18"/>
        </w:numPr>
        <w:spacing w:beforeLines="120" w:before="288" w:afterLines="120" w:after="288" w:line="240" w:lineRule="auto"/>
        <w:contextualSpacing w:val="0"/>
        <w:jc w:val="both"/>
      </w:pPr>
      <w:r>
        <w:t xml:space="preserve">A </w:t>
      </w:r>
      <w:r w:rsidRPr="0018658C">
        <w:rPr>
          <w:b/>
        </w:rPr>
        <w:t>deep and growing customer base</w:t>
      </w:r>
      <w:r>
        <w:t xml:space="preserve"> currently standing at over</w:t>
      </w:r>
      <w:r w:rsidR="00685779">
        <w:t xml:space="preserve"> 10</w:t>
      </w:r>
      <w:r w:rsidRPr="0018658C">
        <w:rPr>
          <w:b/>
        </w:rPr>
        <w:t xml:space="preserve"> million account-holders</w:t>
      </w:r>
      <w:r>
        <w:t>.</w:t>
      </w:r>
    </w:p>
    <w:p w14:paraId="3A5F6B92" w14:textId="5C842C9B" w:rsidR="00766F84" w:rsidRDefault="00B84264" w:rsidP="009C7084">
      <w:pPr>
        <w:spacing w:beforeLines="120" w:before="288" w:afterLines="120" w:after="288" w:line="240" w:lineRule="auto"/>
        <w:jc w:val="both"/>
      </w:pPr>
      <w:r>
        <w:t xml:space="preserve">The unique advantages of being rooted in the </w:t>
      </w:r>
      <w:r>
        <w:rPr>
          <w:b/>
        </w:rPr>
        <w:t>largest co-operative movement in Africa</w:t>
      </w:r>
      <w:r>
        <w:t xml:space="preserve">—boasting </w:t>
      </w:r>
      <w:r>
        <w:rPr>
          <w:b/>
        </w:rPr>
        <w:t>15 million members</w:t>
      </w:r>
      <w:r>
        <w:t>—which underscores our unique synergies and deep community integration.</w:t>
      </w:r>
    </w:p>
    <w:p w14:paraId="3245F17C" w14:textId="77777777" w:rsidR="0018658C" w:rsidRDefault="0018658C" w:rsidP="009C7084">
      <w:pPr>
        <w:spacing w:beforeLines="120" w:before="288" w:afterLines="120" w:after="288" w:line="240" w:lineRule="auto"/>
        <w:jc w:val="both"/>
      </w:pPr>
    </w:p>
    <w:p w14:paraId="07DF6682" w14:textId="77777777" w:rsidR="0018658C" w:rsidRDefault="0018658C" w:rsidP="009C7084">
      <w:pPr>
        <w:spacing w:beforeLines="120" w:before="288" w:afterLines="120" w:after="288" w:line="240" w:lineRule="auto"/>
        <w:jc w:val="both"/>
      </w:pPr>
    </w:p>
    <w:p w14:paraId="66611215" w14:textId="77777777" w:rsidR="00F13893" w:rsidRDefault="00F13893" w:rsidP="009C7084">
      <w:pPr>
        <w:spacing w:beforeLines="120" w:before="288" w:afterLines="120" w:after="288" w:line="240" w:lineRule="auto"/>
        <w:jc w:val="both"/>
      </w:pPr>
    </w:p>
    <w:p w14:paraId="71ACAAB8" w14:textId="77777777" w:rsidR="0018658C" w:rsidRDefault="0018658C" w:rsidP="009C7084">
      <w:pPr>
        <w:spacing w:beforeLines="120" w:before="288" w:afterLines="120" w:after="288" w:line="240" w:lineRule="auto"/>
        <w:jc w:val="both"/>
      </w:pPr>
    </w:p>
    <w:p w14:paraId="39102CE5" w14:textId="081E3AD3" w:rsidR="00766F84" w:rsidRPr="0018658C" w:rsidRDefault="0018658C" w:rsidP="009C7084">
      <w:pPr>
        <w:spacing w:beforeLines="120" w:before="288" w:afterLines="120" w:after="288" w:line="240" w:lineRule="auto"/>
        <w:jc w:val="both"/>
        <w:rPr>
          <w:b/>
          <w:bCs/>
        </w:rPr>
      </w:pPr>
      <w:r w:rsidRPr="0018658C">
        <w:rPr>
          <w:b/>
          <w:bCs/>
        </w:rPr>
        <w:t>Dr. Gideon Muriuki – CBS, MBS</w:t>
      </w:r>
    </w:p>
    <w:p w14:paraId="3C9727EE" w14:textId="77777777" w:rsidR="00766F84" w:rsidRPr="0018658C" w:rsidRDefault="00B84264" w:rsidP="009C7084">
      <w:pPr>
        <w:spacing w:beforeLines="120" w:before="288" w:afterLines="120" w:after="288" w:line="240" w:lineRule="auto"/>
        <w:jc w:val="both"/>
        <w:rPr>
          <w:b/>
          <w:bCs/>
          <w:u w:val="single"/>
        </w:rPr>
      </w:pPr>
      <w:r w:rsidRPr="0018658C">
        <w:rPr>
          <w:b/>
          <w:bCs/>
          <w:u w:val="single"/>
        </w:rPr>
        <w:t>Group Managing Director &amp; CEO</w:t>
      </w:r>
    </w:p>
    <w:p w14:paraId="0DE3AE08" w14:textId="77777777" w:rsidR="00766F84" w:rsidRDefault="00B84264" w:rsidP="009C7084">
      <w:pPr>
        <w:spacing w:beforeLines="120" w:before="288" w:afterLines="120" w:after="288" w:line="240" w:lineRule="auto"/>
        <w:jc w:val="both"/>
      </w:pPr>
      <w:r>
        <w:t>12 August 2026</w:t>
      </w:r>
    </w:p>
    <w:p w14:paraId="0C143AF0" w14:textId="43216FAB" w:rsidR="0018658C" w:rsidRDefault="0018658C" w:rsidP="009C7084">
      <w:pPr>
        <w:spacing w:beforeLines="120" w:before="288" w:afterLines="120" w:after="288" w:line="240" w:lineRule="auto"/>
        <w:rPr>
          <w:b/>
        </w:rPr>
      </w:pPr>
    </w:p>
    <w:p w14:paraId="6C291C07" w14:textId="77777777" w:rsidR="003B4DB1" w:rsidRDefault="003B4DB1" w:rsidP="009C7084">
      <w:pPr>
        <w:spacing w:beforeLines="120" w:before="288" w:afterLines="120" w:after="288" w:line="240" w:lineRule="auto"/>
        <w:rPr>
          <w:b/>
        </w:rPr>
      </w:pPr>
    </w:p>
    <w:p w14:paraId="2CBA2342" w14:textId="77777777" w:rsidR="003B4DB1" w:rsidRDefault="003B4DB1" w:rsidP="009C7084">
      <w:pPr>
        <w:spacing w:beforeLines="120" w:before="288" w:afterLines="120" w:after="288" w:line="240" w:lineRule="auto"/>
        <w:rPr>
          <w:b/>
        </w:rPr>
      </w:pPr>
    </w:p>
    <w:p w14:paraId="78B8BEA5" w14:textId="77777777" w:rsidR="003B4DB1" w:rsidRDefault="003B4DB1" w:rsidP="009C7084">
      <w:pPr>
        <w:spacing w:beforeLines="120" w:before="288" w:afterLines="120" w:after="288" w:line="240" w:lineRule="auto"/>
        <w:rPr>
          <w:b/>
        </w:rPr>
      </w:pPr>
    </w:p>
    <w:p w14:paraId="0112190E" w14:textId="77777777" w:rsidR="003B4DB1" w:rsidRDefault="003B4DB1" w:rsidP="009C7084">
      <w:pPr>
        <w:spacing w:beforeLines="120" w:before="288" w:afterLines="120" w:after="288" w:line="240" w:lineRule="auto"/>
        <w:rPr>
          <w:b/>
        </w:rPr>
      </w:pPr>
    </w:p>
    <w:p w14:paraId="7AEB54B3" w14:textId="77777777" w:rsidR="003B4DB1" w:rsidRDefault="003B4DB1" w:rsidP="009C7084">
      <w:pPr>
        <w:spacing w:beforeLines="120" w:before="288" w:afterLines="120" w:after="288" w:line="240" w:lineRule="auto"/>
        <w:rPr>
          <w:b/>
        </w:rPr>
      </w:pPr>
    </w:p>
    <w:p w14:paraId="4DAF73D2" w14:textId="77777777" w:rsidR="003B4DB1" w:rsidRDefault="003B4DB1" w:rsidP="009C7084">
      <w:pPr>
        <w:spacing w:beforeLines="120" w:before="288" w:afterLines="120" w:after="288" w:line="240" w:lineRule="auto"/>
        <w:rPr>
          <w:b/>
        </w:rPr>
      </w:pPr>
    </w:p>
    <w:p w14:paraId="285F3702" w14:textId="77777777" w:rsidR="00F13893" w:rsidRDefault="00F13893" w:rsidP="009C7084">
      <w:pPr>
        <w:spacing w:beforeLines="120" w:before="288" w:afterLines="120" w:after="288" w:line="240" w:lineRule="auto"/>
        <w:rPr>
          <w:b/>
        </w:rPr>
      </w:pPr>
    </w:p>
    <w:p w14:paraId="4ECB0130" w14:textId="624C68D9" w:rsidR="00766F84" w:rsidRDefault="00B84264" w:rsidP="009C7084">
      <w:pPr>
        <w:spacing w:beforeLines="120" w:before="288" w:afterLines="120" w:after="288" w:line="240" w:lineRule="auto"/>
      </w:pPr>
      <w:r>
        <w:rPr>
          <w:b/>
        </w:rPr>
        <w:t>About Co-operative Bank Group</w:t>
      </w:r>
    </w:p>
    <w:p w14:paraId="5CF97CA8" w14:textId="77777777" w:rsidR="00766F84" w:rsidRDefault="00B84264" w:rsidP="009C7084">
      <w:pPr>
        <w:spacing w:beforeLines="120" w:before="288" w:afterLines="120" w:after="288" w:line="240" w:lineRule="auto"/>
        <w:jc w:val="both"/>
      </w:pPr>
      <w:r>
        <w:t xml:space="preserve">The </w:t>
      </w:r>
      <w:r>
        <w:rPr>
          <w:b/>
        </w:rPr>
        <w:t>Co-operative Bank of Kenya Ltd</w:t>
      </w:r>
      <w:r>
        <w:t xml:space="preserve"> (‘Co-op Bank’) is incorporated in Kenya under the Company’s Act and is licensed to carry out the business of banking under the Banking Act. The Bank was listed in year 2008 wherein it is now the largest Co-operative Bank in Africa.</w:t>
      </w:r>
    </w:p>
    <w:p w14:paraId="6A301A49" w14:textId="77777777" w:rsidR="00766F84" w:rsidRDefault="00B84264" w:rsidP="009C7084">
      <w:pPr>
        <w:spacing w:beforeLines="120" w:before="288" w:afterLines="120" w:after="288" w:line="240" w:lineRule="auto"/>
        <w:jc w:val="both"/>
      </w:pPr>
      <w:r>
        <w:t xml:space="preserve">The Group is one of the largest financial institutions in the region with 5 subsidiaries namely, </w:t>
      </w:r>
      <w:r>
        <w:rPr>
          <w:b/>
        </w:rPr>
        <w:t>Kingdom Securities Ltd</w:t>
      </w:r>
      <w:r>
        <w:t xml:space="preserve">, </w:t>
      </w:r>
      <w:proofErr w:type="spellStart"/>
      <w:r>
        <w:rPr>
          <w:b/>
        </w:rPr>
        <w:t>Co-optrust</w:t>
      </w:r>
      <w:proofErr w:type="spellEnd"/>
      <w:r>
        <w:rPr>
          <w:b/>
        </w:rPr>
        <w:t xml:space="preserve"> Investment Services Ltd</w:t>
      </w:r>
      <w:r>
        <w:t xml:space="preserve">, </w:t>
      </w:r>
      <w:r>
        <w:rPr>
          <w:b/>
        </w:rPr>
        <w:t>Co-op Bancassurance Intermediary Ltd</w:t>
      </w:r>
      <w:r>
        <w:t xml:space="preserve">, </w:t>
      </w:r>
      <w:r>
        <w:rPr>
          <w:b/>
        </w:rPr>
        <w:t>Kingdom Bank Ltd</w:t>
      </w:r>
      <w:r>
        <w:t xml:space="preserve"> and </w:t>
      </w:r>
      <w:r>
        <w:rPr>
          <w:b/>
        </w:rPr>
        <w:t>Co-operative Bank of South Sudan Ltd</w:t>
      </w:r>
      <w:r>
        <w:t xml:space="preserve">; The Bank also owns a 24.8 per cent stake in </w:t>
      </w:r>
      <w:r>
        <w:rPr>
          <w:b/>
        </w:rPr>
        <w:t>CIC Insurance Group</w:t>
      </w:r>
      <w:r>
        <w:t xml:space="preserve"> and </w:t>
      </w:r>
      <w:r>
        <w:rPr>
          <w:b/>
        </w:rPr>
        <w:t>25.0%</w:t>
      </w:r>
      <w:r>
        <w:t xml:space="preserve"> stake in </w:t>
      </w:r>
      <w:r>
        <w:rPr>
          <w:b/>
        </w:rPr>
        <w:t>Co-op Bank Fleet Africa Leasing Ltd</w:t>
      </w:r>
      <w:r>
        <w:t>.</w:t>
      </w:r>
    </w:p>
    <w:p w14:paraId="526D59E1" w14:textId="77777777" w:rsidR="00766F84" w:rsidRDefault="00B84264" w:rsidP="009C7084">
      <w:pPr>
        <w:spacing w:beforeLines="120" w:before="288" w:afterLines="120" w:after="288" w:line="240" w:lineRule="auto"/>
        <w:jc w:val="both"/>
      </w:pPr>
      <w:r>
        <w:t xml:space="preserve">The Bank’s footprint across Kenya and the region includes </w:t>
      </w:r>
      <w:r>
        <w:rPr>
          <w:b/>
        </w:rPr>
        <w:t>223 branches</w:t>
      </w:r>
      <w:r>
        <w:t xml:space="preserve">; 609 ATMs &amp; Cash Deposit Machines; and </w:t>
      </w:r>
      <w:r>
        <w:rPr>
          <w:b/>
        </w:rPr>
        <w:t>16,105</w:t>
      </w:r>
      <w:r>
        <w:t xml:space="preserve"> Co-op Kwa Jirani agency banking outlets supporting our growing client base.</w:t>
      </w:r>
    </w:p>
    <w:sectPr w:rsidR="00766F84" w:rsidSect="003B4DB1">
      <w:footerReference w:type="default" r:id="rId10"/>
      <w:footerReference w:type="first" r:id="rId11"/>
      <w:pgSz w:w="11906" w:h="16838"/>
      <w:pgMar w:top="720" w:right="1195" w:bottom="720" w:left="1166" w:header="9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624059" w14:textId="77777777" w:rsidR="00E31BA3" w:rsidRDefault="00E31BA3" w:rsidP="002B65A7">
      <w:pPr>
        <w:spacing w:after="0" w:line="240" w:lineRule="auto"/>
      </w:pPr>
      <w:r>
        <w:separator/>
      </w:r>
    </w:p>
  </w:endnote>
  <w:endnote w:type="continuationSeparator" w:id="0">
    <w:p w14:paraId="2D3E71A8" w14:textId="77777777" w:rsidR="00E31BA3" w:rsidRDefault="00E31BA3" w:rsidP="002B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D88FBC" w14:textId="040FD79F" w:rsidR="00CE6FFE" w:rsidRPr="00CE6FFE" w:rsidRDefault="00CE6FFE" w:rsidP="00CE6FFE">
    <w:pPr>
      <w:pStyle w:val="Footer"/>
      <w:pBdr>
        <w:top w:val="single" w:sz="4" w:space="1" w:color="auto"/>
      </w:pBdr>
      <w:jc w:val="center"/>
      <w:rPr>
        <w:sz w:val="20"/>
        <w:szCs w:val="20"/>
      </w:rPr>
    </w:pPr>
    <w:r w:rsidRPr="00CE6FFE">
      <w:rPr>
        <w:noProof/>
        <w:sz w:val="20"/>
        <w:szCs w:val="20"/>
      </w:rPr>
      <w:t>Co-operative Bank of Kenya Ltd - H1 2026 Press Release</w:t>
    </w:r>
    <w:r w:rsidRPr="00CE6FFE">
      <w:rPr>
        <w:sz w:val="20"/>
        <w:szCs w:val="20"/>
      </w:rPr>
      <w:t xml:space="preserve">  </w:t>
    </w:r>
    <w:sdt>
      <w:sdtPr>
        <w:rPr>
          <w:sz w:val="20"/>
          <w:szCs w:val="20"/>
        </w:rPr>
        <w:id w:val="-62516247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CE6FFE">
              <w:rPr>
                <w:sz w:val="20"/>
                <w:szCs w:val="20"/>
              </w:rPr>
              <w:t xml:space="preserve">             </w:t>
            </w:r>
            <w:r>
              <w:rPr>
                <w:sz w:val="20"/>
                <w:szCs w:val="20"/>
              </w:rPr>
              <w:t xml:space="preserve">   </w:t>
            </w:r>
            <w:r w:rsidRPr="00CE6FFE">
              <w:rPr>
                <w:sz w:val="20"/>
                <w:szCs w:val="20"/>
              </w:rPr>
              <w:t xml:space="preserve">                                     Page </w:t>
            </w:r>
            <w:r w:rsidRPr="00CE6FFE">
              <w:rPr>
                <w:b/>
                <w:bCs/>
                <w:sz w:val="20"/>
                <w:szCs w:val="20"/>
              </w:rPr>
              <w:fldChar w:fldCharType="begin"/>
            </w:r>
            <w:r w:rsidRPr="00CE6FFE">
              <w:rPr>
                <w:b/>
                <w:bCs/>
                <w:sz w:val="20"/>
                <w:szCs w:val="20"/>
              </w:rPr>
              <w:instrText xml:space="preserve"> PAGE </w:instrText>
            </w:r>
            <w:r w:rsidRPr="00CE6FFE">
              <w:rPr>
                <w:b/>
                <w:bCs/>
                <w:sz w:val="20"/>
                <w:szCs w:val="20"/>
              </w:rPr>
              <w:fldChar w:fldCharType="separate"/>
            </w:r>
            <w:r w:rsidRPr="00CE6FFE">
              <w:rPr>
                <w:b/>
                <w:bCs/>
                <w:noProof/>
                <w:sz w:val="20"/>
                <w:szCs w:val="20"/>
              </w:rPr>
              <w:t>2</w:t>
            </w:r>
            <w:r w:rsidRPr="00CE6FFE">
              <w:rPr>
                <w:b/>
                <w:bCs/>
                <w:sz w:val="20"/>
                <w:szCs w:val="20"/>
              </w:rPr>
              <w:fldChar w:fldCharType="end"/>
            </w:r>
            <w:r w:rsidRPr="00CE6FFE">
              <w:rPr>
                <w:sz w:val="20"/>
                <w:szCs w:val="20"/>
              </w:rPr>
              <w:t xml:space="preserve"> of </w:t>
            </w:r>
            <w:r w:rsidRPr="00CE6FFE">
              <w:rPr>
                <w:b/>
                <w:bCs/>
                <w:sz w:val="20"/>
                <w:szCs w:val="20"/>
              </w:rPr>
              <w:fldChar w:fldCharType="begin"/>
            </w:r>
            <w:r w:rsidRPr="00CE6FFE">
              <w:rPr>
                <w:b/>
                <w:bCs/>
                <w:sz w:val="20"/>
                <w:szCs w:val="20"/>
              </w:rPr>
              <w:instrText xml:space="preserve"> NUMPAGES  </w:instrText>
            </w:r>
            <w:r w:rsidRPr="00CE6FFE">
              <w:rPr>
                <w:b/>
                <w:bCs/>
                <w:sz w:val="20"/>
                <w:szCs w:val="20"/>
              </w:rPr>
              <w:fldChar w:fldCharType="separate"/>
            </w:r>
            <w:r w:rsidRPr="00CE6FFE">
              <w:rPr>
                <w:b/>
                <w:bCs/>
                <w:noProof/>
                <w:sz w:val="20"/>
                <w:szCs w:val="20"/>
              </w:rPr>
              <w:t>2</w:t>
            </w:r>
            <w:r w:rsidRPr="00CE6FFE">
              <w:rPr>
                <w:b/>
                <w:bCs/>
                <w:sz w:val="20"/>
                <w:szCs w:val="20"/>
              </w:rPr>
              <w:fldChar w:fldCharType="end"/>
            </w:r>
          </w:sdtContent>
        </w:sdt>
      </w:sdtContent>
    </w:sdt>
  </w:p>
  <w:p w14:paraId="1A6A7745" w14:textId="0D502CEF" w:rsidR="00806953" w:rsidRDefault="00806953" w:rsidP="00CE6FF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5896794"/>
      <w:docPartObj>
        <w:docPartGallery w:val="Page Numbers (Bottom of Page)"/>
        <w:docPartUnique/>
      </w:docPartObj>
    </w:sdtPr>
    <w:sdtEndPr/>
    <w:sdtContent>
      <w:p w14:paraId="6BEABAAB" w14:textId="617D34F5" w:rsidR="002B65A7" w:rsidRDefault="002B65A7">
        <w:pPr>
          <w:pStyle w:val="Footer"/>
          <w:jc w:val="right"/>
        </w:pPr>
        <w:r>
          <w:t xml:space="preserve"> </w:t>
        </w:r>
      </w:p>
    </w:sdtContent>
  </w:sdt>
  <w:p w14:paraId="27081720" w14:textId="77777777" w:rsidR="002B65A7" w:rsidRDefault="002B6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6507CF" w14:textId="77777777" w:rsidR="00E31BA3" w:rsidRDefault="00E31BA3" w:rsidP="002B65A7">
      <w:pPr>
        <w:spacing w:after="0" w:line="240" w:lineRule="auto"/>
      </w:pPr>
      <w:r>
        <w:separator/>
      </w:r>
    </w:p>
  </w:footnote>
  <w:footnote w:type="continuationSeparator" w:id="0">
    <w:p w14:paraId="7A47DFEC" w14:textId="77777777" w:rsidR="00E31BA3" w:rsidRDefault="00E31BA3" w:rsidP="002B65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9695E"/>
    <w:multiLevelType w:val="hybridMultilevel"/>
    <w:tmpl w:val="323E04BA"/>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0392E"/>
    <w:multiLevelType w:val="hybridMultilevel"/>
    <w:tmpl w:val="9070B4EC"/>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D7E0E"/>
    <w:multiLevelType w:val="hybridMultilevel"/>
    <w:tmpl w:val="9B520FFE"/>
    <w:lvl w:ilvl="0" w:tplc="27E0209E">
      <w:start w:val="13"/>
      <w:numFmt w:val="bullet"/>
      <w:lvlText w:val="-"/>
      <w:lvlJc w:val="left"/>
      <w:pPr>
        <w:ind w:left="720" w:hanging="360"/>
      </w:pPr>
      <w:rPr>
        <w:rFonts w:ascii="Aptos" w:eastAsia="Times New Roman" w:hAnsi="Aptos" w:cs="Times New Roman" w:hint="default"/>
        <w:b w:val="0"/>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D3BD0"/>
    <w:multiLevelType w:val="hybridMultilevel"/>
    <w:tmpl w:val="1D70A0FC"/>
    <w:lvl w:ilvl="0" w:tplc="CDD4DE70">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E4F57"/>
    <w:multiLevelType w:val="hybridMultilevel"/>
    <w:tmpl w:val="123C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C1D3A"/>
    <w:multiLevelType w:val="hybridMultilevel"/>
    <w:tmpl w:val="F0CA1F1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15E952A1"/>
    <w:multiLevelType w:val="hybridMultilevel"/>
    <w:tmpl w:val="5E322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21040"/>
    <w:multiLevelType w:val="multilevel"/>
    <w:tmpl w:val="364A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53C02"/>
    <w:multiLevelType w:val="multilevel"/>
    <w:tmpl w:val="D22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949E2"/>
    <w:multiLevelType w:val="hybridMultilevel"/>
    <w:tmpl w:val="73A063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DAB39BC"/>
    <w:multiLevelType w:val="hybridMultilevel"/>
    <w:tmpl w:val="4EBC18C8"/>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209E8"/>
    <w:multiLevelType w:val="hybridMultilevel"/>
    <w:tmpl w:val="B1C69FBA"/>
    <w:lvl w:ilvl="0" w:tplc="35F09B0C">
      <w:start w:val="13"/>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23FD4"/>
    <w:multiLevelType w:val="multilevel"/>
    <w:tmpl w:val="F102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761EC6"/>
    <w:multiLevelType w:val="multilevel"/>
    <w:tmpl w:val="A63C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F70CA3"/>
    <w:multiLevelType w:val="hybridMultilevel"/>
    <w:tmpl w:val="FEF4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755A4B"/>
    <w:multiLevelType w:val="hybridMultilevel"/>
    <w:tmpl w:val="5AE8ED10"/>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E4327"/>
    <w:multiLevelType w:val="multilevel"/>
    <w:tmpl w:val="FA76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427F0"/>
    <w:multiLevelType w:val="hybridMultilevel"/>
    <w:tmpl w:val="F190C674"/>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797121"/>
    <w:multiLevelType w:val="hybridMultilevel"/>
    <w:tmpl w:val="92CC42AC"/>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725113"/>
    <w:multiLevelType w:val="hybridMultilevel"/>
    <w:tmpl w:val="F6D85BA8"/>
    <w:lvl w:ilvl="0" w:tplc="CDD4DE70">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3037CA"/>
    <w:multiLevelType w:val="hybridMultilevel"/>
    <w:tmpl w:val="E8F211EC"/>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26CD1"/>
    <w:multiLevelType w:val="hybridMultilevel"/>
    <w:tmpl w:val="66FA21EA"/>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6D302F"/>
    <w:multiLevelType w:val="hybridMultilevel"/>
    <w:tmpl w:val="6316D40E"/>
    <w:lvl w:ilvl="0" w:tplc="CDD4DE70">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C6A2E"/>
    <w:multiLevelType w:val="multilevel"/>
    <w:tmpl w:val="81B0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73826"/>
    <w:multiLevelType w:val="multilevel"/>
    <w:tmpl w:val="8338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E3416A"/>
    <w:multiLevelType w:val="hybridMultilevel"/>
    <w:tmpl w:val="85881522"/>
    <w:lvl w:ilvl="0" w:tplc="66A2ABFC">
      <w:numFmt w:val="bullet"/>
      <w:lvlText w:val="•"/>
      <w:lvlJc w:val="left"/>
      <w:pPr>
        <w:ind w:left="360" w:hanging="360"/>
      </w:pPr>
      <w:rPr>
        <w:rFonts w:ascii="Trebuchet MS" w:eastAsia="Trebuchet MS"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834235">
    <w:abstractNumId w:val="23"/>
  </w:num>
  <w:num w:numId="2" w16cid:durableId="484245570">
    <w:abstractNumId w:val="7"/>
  </w:num>
  <w:num w:numId="3" w16cid:durableId="1880051954">
    <w:abstractNumId w:val="12"/>
  </w:num>
  <w:num w:numId="4" w16cid:durableId="1002583059">
    <w:abstractNumId w:val="24"/>
  </w:num>
  <w:num w:numId="5" w16cid:durableId="836506687">
    <w:abstractNumId w:val="13"/>
  </w:num>
  <w:num w:numId="6" w16cid:durableId="857894068">
    <w:abstractNumId w:val="17"/>
  </w:num>
  <w:num w:numId="7" w16cid:durableId="2086949385">
    <w:abstractNumId w:val="16"/>
  </w:num>
  <w:num w:numId="8" w16cid:durableId="1649018660">
    <w:abstractNumId w:val="5"/>
  </w:num>
  <w:num w:numId="9" w16cid:durableId="618727653">
    <w:abstractNumId w:val="9"/>
  </w:num>
  <w:num w:numId="10" w16cid:durableId="1119226882">
    <w:abstractNumId w:val="8"/>
  </w:num>
  <w:num w:numId="11" w16cid:durableId="403720900">
    <w:abstractNumId w:val="4"/>
  </w:num>
  <w:num w:numId="12" w16cid:durableId="1549760278">
    <w:abstractNumId w:val="3"/>
  </w:num>
  <w:num w:numId="13" w16cid:durableId="1692878594">
    <w:abstractNumId w:val="19"/>
  </w:num>
  <w:num w:numId="14" w16cid:durableId="1655602747">
    <w:abstractNumId w:val="22"/>
  </w:num>
  <w:num w:numId="15" w16cid:durableId="69548246">
    <w:abstractNumId w:val="11"/>
  </w:num>
  <w:num w:numId="16" w16cid:durableId="1781101772">
    <w:abstractNumId w:val="2"/>
  </w:num>
  <w:num w:numId="17" w16cid:durableId="1762794135">
    <w:abstractNumId w:val="14"/>
  </w:num>
  <w:num w:numId="18" w16cid:durableId="1555579969">
    <w:abstractNumId w:val="21"/>
  </w:num>
  <w:num w:numId="19" w16cid:durableId="253899467">
    <w:abstractNumId w:val="18"/>
  </w:num>
  <w:num w:numId="20" w16cid:durableId="943146228">
    <w:abstractNumId w:val="0"/>
  </w:num>
  <w:num w:numId="21" w16cid:durableId="1623001852">
    <w:abstractNumId w:val="1"/>
  </w:num>
  <w:num w:numId="22" w16cid:durableId="1856728876">
    <w:abstractNumId w:val="15"/>
  </w:num>
  <w:num w:numId="23" w16cid:durableId="1256329692">
    <w:abstractNumId w:val="20"/>
  </w:num>
  <w:num w:numId="24" w16cid:durableId="104155427">
    <w:abstractNumId w:val="25"/>
  </w:num>
  <w:num w:numId="25" w16cid:durableId="1305039998">
    <w:abstractNumId w:val="10"/>
  </w:num>
  <w:num w:numId="26" w16cid:durableId="192992374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A7"/>
    <w:rsid w:val="00016C04"/>
    <w:rsid w:val="00017D5F"/>
    <w:rsid w:val="00060A82"/>
    <w:rsid w:val="00083A8E"/>
    <w:rsid w:val="000A08B4"/>
    <w:rsid w:val="000C23A8"/>
    <w:rsid w:val="000C4325"/>
    <w:rsid w:val="000CC2F6"/>
    <w:rsid w:val="000D085F"/>
    <w:rsid w:val="000D0FB6"/>
    <w:rsid w:val="000E11DF"/>
    <w:rsid w:val="00117525"/>
    <w:rsid w:val="001221A1"/>
    <w:rsid w:val="00122CAD"/>
    <w:rsid w:val="001565A6"/>
    <w:rsid w:val="001601C0"/>
    <w:rsid w:val="00161233"/>
    <w:rsid w:val="00173769"/>
    <w:rsid w:val="0018658C"/>
    <w:rsid w:val="001D7DE2"/>
    <w:rsid w:val="00216121"/>
    <w:rsid w:val="002409AA"/>
    <w:rsid w:val="0024683F"/>
    <w:rsid w:val="002538CC"/>
    <w:rsid w:val="00272F9E"/>
    <w:rsid w:val="00277713"/>
    <w:rsid w:val="002B65A7"/>
    <w:rsid w:val="002D7B14"/>
    <w:rsid w:val="002F0740"/>
    <w:rsid w:val="002F19CE"/>
    <w:rsid w:val="002F3BDB"/>
    <w:rsid w:val="003512D6"/>
    <w:rsid w:val="00365FE4"/>
    <w:rsid w:val="00382C69"/>
    <w:rsid w:val="003836D2"/>
    <w:rsid w:val="003A13C4"/>
    <w:rsid w:val="003B4204"/>
    <w:rsid w:val="003B4DB1"/>
    <w:rsid w:val="003D6483"/>
    <w:rsid w:val="003E4514"/>
    <w:rsid w:val="003F4623"/>
    <w:rsid w:val="004047DC"/>
    <w:rsid w:val="0043200A"/>
    <w:rsid w:val="00463E55"/>
    <w:rsid w:val="00494A58"/>
    <w:rsid w:val="004C1EEC"/>
    <w:rsid w:val="004D594A"/>
    <w:rsid w:val="004D786B"/>
    <w:rsid w:val="00500F93"/>
    <w:rsid w:val="00503401"/>
    <w:rsid w:val="0051724B"/>
    <w:rsid w:val="005277C4"/>
    <w:rsid w:val="00583F04"/>
    <w:rsid w:val="00594F22"/>
    <w:rsid w:val="005A5201"/>
    <w:rsid w:val="005A7575"/>
    <w:rsid w:val="005D33B4"/>
    <w:rsid w:val="005F468D"/>
    <w:rsid w:val="00603803"/>
    <w:rsid w:val="0063712F"/>
    <w:rsid w:val="00657241"/>
    <w:rsid w:val="0067221E"/>
    <w:rsid w:val="00685779"/>
    <w:rsid w:val="00694DC7"/>
    <w:rsid w:val="006A6A9C"/>
    <w:rsid w:val="006B0D5A"/>
    <w:rsid w:val="006D03F2"/>
    <w:rsid w:val="006D307C"/>
    <w:rsid w:val="006E2060"/>
    <w:rsid w:val="00712FB5"/>
    <w:rsid w:val="007503DF"/>
    <w:rsid w:val="007609A1"/>
    <w:rsid w:val="00766F84"/>
    <w:rsid w:val="007B56FC"/>
    <w:rsid w:val="007B7066"/>
    <w:rsid w:val="007E0AE4"/>
    <w:rsid w:val="007F2CBD"/>
    <w:rsid w:val="00801F1F"/>
    <w:rsid w:val="00804EF2"/>
    <w:rsid w:val="008050B8"/>
    <w:rsid w:val="00806953"/>
    <w:rsid w:val="00836A7F"/>
    <w:rsid w:val="00843D1E"/>
    <w:rsid w:val="00852348"/>
    <w:rsid w:val="008639F8"/>
    <w:rsid w:val="00881C2A"/>
    <w:rsid w:val="008A54A1"/>
    <w:rsid w:val="008A56A6"/>
    <w:rsid w:val="008F6CA1"/>
    <w:rsid w:val="00952B07"/>
    <w:rsid w:val="009C7084"/>
    <w:rsid w:val="009D4A57"/>
    <w:rsid w:val="009D4DA1"/>
    <w:rsid w:val="009E67C2"/>
    <w:rsid w:val="00A1528A"/>
    <w:rsid w:val="00A20954"/>
    <w:rsid w:val="00A45E22"/>
    <w:rsid w:val="00A86D5C"/>
    <w:rsid w:val="00A86F89"/>
    <w:rsid w:val="00AA47FA"/>
    <w:rsid w:val="00AD1846"/>
    <w:rsid w:val="00AD36C0"/>
    <w:rsid w:val="00AE463F"/>
    <w:rsid w:val="00AF57B7"/>
    <w:rsid w:val="00B00F2B"/>
    <w:rsid w:val="00B176D8"/>
    <w:rsid w:val="00B227F8"/>
    <w:rsid w:val="00B42D76"/>
    <w:rsid w:val="00B445E9"/>
    <w:rsid w:val="00B6235A"/>
    <w:rsid w:val="00B744D1"/>
    <w:rsid w:val="00B745D3"/>
    <w:rsid w:val="00B84264"/>
    <w:rsid w:val="00BE3AC1"/>
    <w:rsid w:val="00BE56FF"/>
    <w:rsid w:val="00C07C18"/>
    <w:rsid w:val="00C279E1"/>
    <w:rsid w:val="00C35B96"/>
    <w:rsid w:val="00C4450E"/>
    <w:rsid w:val="00C72C5F"/>
    <w:rsid w:val="00C74D7B"/>
    <w:rsid w:val="00CE6FFE"/>
    <w:rsid w:val="00D12831"/>
    <w:rsid w:val="00D131F6"/>
    <w:rsid w:val="00D70A88"/>
    <w:rsid w:val="00D7278E"/>
    <w:rsid w:val="00D751C5"/>
    <w:rsid w:val="00D9714F"/>
    <w:rsid w:val="00DA65C4"/>
    <w:rsid w:val="00DE2426"/>
    <w:rsid w:val="00DF0560"/>
    <w:rsid w:val="00E31BA3"/>
    <w:rsid w:val="00E3587D"/>
    <w:rsid w:val="00E43383"/>
    <w:rsid w:val="00E51657"/>
    <w:rsid w:val="00ED4569"/>
    <w:rsid w:val="00EE31F6"/>
    <w:rsid w:val="00EE63E6"/>
    <w:rsid w:val="00EE72CD"/>
    <w:rsid w:val="00EF024D"/>
    <w:rsid w:val="00F03D36"/>
    <w:rsid w:val="00F13893"/>
    <w:rsid w:val="00F23DE6"/>
    <w:rsid w:val="00F56F9D"/>
    <w:rsid w:val="00F81875"/>
    <w:rsid w:val="00F94C99"/>
    <w:rsid w:val="00FE4FB7"/>
    <w:rsid w:val="106161B6"/>
    <w:rsid w:val="144A4564"/>
    <w:rsid w:val="15381E0B"/>
    <w:rsid w:val="331DD7A9"/>
    <w:rsid w:val="39866CCD"/>
    <w:rsid w:val="626BB642"/>
    <w:rsid w:val="6494455E"/>
    <w:rsid w:val="6713C5D1"/>
    <w:rsid w:val="6CFD9FFF"/>
    <w:rsid w:val="7E46F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92642"/>
  <w15:chartTrackingRefBased/>
  <w15:docId w15:val="{E9FEDDEB-3F8C-492F-BFF4-09A281A7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5A7"/>
    <w:rPr>
      <w:rFonts w:ascii="Trebuchet MS" w:eastAsia="Trebuchet MS" w:hAnsi="Trebuchet MS"/>
      <w:sz w:val="25"/>
    </w:rPr>
  </w:style>
  <w:style w:type="paragraph" w:styleId="Heading1">
    <w:name w:val="heading 1"/>
    <w:basedOn w:val="Normal"/>
    <w:next w:val="Normal"/>
    <w:link w:val="Heading1Char"/>
    <w:uiPriority w:val="9"/>
    <w:qFormat/>
    <w:rsid w:val="002B6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5A7"/>
    <w:rPr>
      <w:rFonts w:eastAsiaTheme="majorEastAsia" w:cstheme="majorBidi"/>
      <w:color w:val="272727" w:themeColor="text1" w:themeTint="D8"/>
    </w:rPr>
  </w:style>
  <w:style w:type="paragraph" w:styleId="Title">
    <w:name w:val="Title"/>
    <w:basedOn w:val="Normal"/>
    <w:next w:val="Normal"/>
    <w:link w:val="TitleChar"/>
    <w:uiPriority w:val="10"/>
    <w:qFormat/>
    <w:rsid w:val="002B6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5A7"/>
    <w:pPr>
      <w:spacing w:before="160"/>
      <w:jc w:val="center"/>
    </w:pPr>
    <w:rPr>
      <w:i/>
      <w:iCs/>
      <w:color w:val="404040" w:themeColor="text1" w:themeTint="BF"/>
    </w:rPr>
  </w:style>
  <w:style w:type="character" w:customStyle="1" w:styleId="QuoteChar">
    <w:name w:val="Quote Char"/>
    <w:basedOn w:val="DefaultParagraphFont"/>
    <w:link w:val="Quote"/>
    <w:uiPriority w:val="29"/>
    <w:rsid w:val="002B65A7"/>
    <w:rPr>
      <w:i/>
      <w:iCs/>
      <w:color w:val="404040" w:themeColor="text1" w:themeTint="BF"/>
    </w:rPr>
  </w:style>
  <w:style w:type="paragraph" w:styleId="ListParagraph">
    <w:name w:val="List Paragraph"/>
    <w:basedOn w:val="Normal"/>
    <w:uiPriority w:val="34"/>
    <w:qFormat/>
    <w:rsid w:val="002B65A7"/>
    <w:pPr>
      <w:ind w:left="720"/>
      <w:contextualSpacing/>
    </w:pPr>
  </w:style>
  <w:style w:type="character" w:styleId="IntenseEmphasis">
    <w:name w:val="Intense Emphasis"/>
    <w:basedOn w:val="DefaultParagraphFont"/>
    <w:uiPriority w:val="21"/>
    <w:qFormat/>
    <w:rsid w:val="002B65A7"/>
    <w:rPr>
      <w:i/>
      <w:iCs/>
      <w:color w:val="0F4761" w:themeColor="accent1" w:themeShade="BF"/>
    </w:rPr>
  </w:style>
  <w:style w:type="paragraph" w:styleId="IntenseQuote">
    <w:name w:val="Intense Quote"/>
    <w:basedOn w:val="Normal"/>
    <w:next w:val="Normal"/>
    <w:link w:val="IntenseQuoteChar"/>
    <w:uiPriority w:val="30"/>
    <w:qFormat/>
    <w:rsid w:val="002B6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5A7"/>
    <w:rPr>
      <w:i/>
      <w:iCs/>
      <w:color w:val="0F4761" w:themeColor="accent1" w:themeShade="BF"/>
    </w:rPr>
  </w:style>
  <w:style w:type="character" w:styleId="IntenseReference">
    <w:name w:val="Intense Reference"/>
    <w:basedOn w:val="DefaultParagraphFont"/>
    <w:uiPriority w:val="32"/>
    <w:qFormat/>
    <w:rsid w:val="002B65A7"/>
    <w:rPr>
      <w:b/>
      <w:bCs/>
      <w:smallCaps/>
      <w:color w:val="0F4761" w:themeColor="accent1" w:themeShade="BF"/>
      <w:spacing w:val="5"/>
    </w:rPr>
  </w:style>
  <w:style w:type="paragraph" w:styleId="Header">
    <w:name w:val="header"/>
    <w:basedOn w:val="Normal"/>
    <w:link w:val="HeaderChar"/>
    <w:uiPriority w:val="99"/>
    <w:unhideWhenUsed/>
    <w:rsid w:val="002B65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5A7"/>
  </w:style>
  <w:style w:type="paragraph" w:styleId="Footer">
    <w:name w:val="footer"/>
    <w:basedOn w:val="Normal"/>
    <w:link w:val="FooterChar"/>
    <w:uiPriority w:val="99"/>
    <w:unhideWhenUsed/>
    <w:rsid w:val="002B65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5A7"/>
  </w:style>
  <w:style w:type="character" w:styleId="CommentReference">
    <w:name w:val="annotation reference"/>
    <w:basedOn w:val="DefaultParagraphFont"/>
    <w:uiPriority w:val="99"/>
    <w:semiHidden/>
    <w:unhideWhenUsed/>
    <w:rsid w:val="003E4514"/>
    <w:rPr>
      <w:sz w:val="16"/>
      <w:szCs w:val="16"/>
    </w:rPr>
  </w:style>
  <w:style w:type="paragraph" w:styleId="CommentText">
    <w:name w:val="annotation text"/>
    <w:basedOn w:val="Normal"/>
    <w:link w:val="CommentTextChar"/>
    <w:uiPriority w:val="99"/>
    <w:unhideWhenUsed/>
    <w:rsid w:val="003E4514"/>
    <w:pPr>
      <w:spacing w:line="240" w:lineRule="auto"/>
    </w:pPr>
    <w:rPr>
      <w:sz w:val="20"/>
      <w:szCs w:val="20"/>
    </w:rPr>
  </w:style>
  <w:style w:type="character" w:customStyle="1" w:styleId="CommentTextChar">
    <w:name w:val="Comment Text Char"/>
    <w:basedOn w:val="DefaultParagraphFont"/>
    <w:link w:val="CommentText"/>
    <w:uiPriority w:val="99"/>
    <w:rsid w:val="003E4514"/>
    <w:rPr>
      <w:sz w:val="20"/>
      <w:szCs w:val="20"/>
    </w:rPr>
  </w:style>
  <w:style w:type="paragraph" w:styleId="CommentSubject">
    <w:name w:val="annotation subject"/>
    <w:basedOn w:val="CommentText"/>
    <w:next w:val="CommentText"/>
    <w:link w:val="CommentSubjectChar"/>
    <w:uiPriority w:val="99"/>
    <w:semiHidden/>
    <w:unhideWhenUsed/>
    <w:rsid w:val="003E4514"/>
    <w:rPr>
      <w:b/>
      <w:bCs/>
    </w:rPr>
  </w:style>
  <w:style w:type="character" w:customStyle="1" w:styleId="CommentSubjectChar">
    <w:name w:val="Comment Subject Char"/>
    <w:basedOn w:val="CommentTextChar"/>
    <w:link w:val="CommentSubject"/>
    <w:uiPriority w:val="99"/>
    <w:semiHidden/>
    <w:rsid w:val="003E4514"/>
    <w:rPr>
      <w:b/>
      <w:bCs/>
      <w:sz w:val="20"/>
      <w:szCs w:val="20"/>
    </w:rPr>
  </w:style>
  <w:style w:type="paragraph" w:styleId="Revision">
    <w:name w:val="Revision"/>
    <w:hidden/>
    <w:uiPriority w:val="99"/>
    <w:semiHidden/>
    <w:rsid w:val="00ED4569"/>
    <w:pPr>
      <w:spacing w:after="0" w:line="240" w:lineRule="auto"/>
    </w:pPr>
  </w:style>
  <w:style w:type="paragraph" w:styleId="NormalWeb">
    <w:name w:val="Normal (Web)"/>
    <w:basedOn w:val="Normal"/>
    <w:uiPriority w:val="99"/>
    <w:semiHidden/>
    <w:unhideWhenUsed/>
    <w:rsid w:val="00EE72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7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384BF6F5F7E4EBA1E3B30E88CB70F" ma:contentTypeVersion="18" ma:contentTypeDescription="Create a new document." ma:contentTypeScope="" ma:versionID="d23b379c3ce5ae5c5548809c7a4f17b4">
  <xsd:schema xmlns:xsd="http://www.w3.org/2001/XMLSchema" xmlns:xs="http://www.w3.org/2001/XMLSchema" xmlns:p="http://schemas.microsoft.com/office/2006/metadata/properties" xmlns:ns3="049755d0-6af7-47d6-a86e-f32f250c9404" xmlns:ns4="f23b4471-cac0-497a-9892-9527c7fe7576" targetNamespace="http://schemas.microsoft.com/office/2006/metadata/properties" ma:root="true" ma:fieldsID="1db1d007f95e213a166d7feb4c7e9f70" ns3:_="" ns4:_="">
    <xsd:import namespace="049755d0-6af7-47d6-a86e-f32f250c9404"/>
    <xsd:import namespace="f23b4471-cac0-497a-9892-9527c7fe75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earchProperties" minOccurs="0"/>
                <xsd:element ref="ns3:_activity"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755d0-6af7-47d6-a86e-f32f250c9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b4471-cac0-497a-9892-9527c7fe75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49755d0-6af7-47d6-a86e-f32f250c9404" xsi:nil="true"/>
  </documentManagement>
</p:properties>
</file>

<file path=customXml/itemProps1.xml><?xml version="1.0" encoding="utf-8"?>
<ds:datastoreItem xmlns:ds="http://schemas.openxmlformats.org/officeDocument/2006/customXml" ds:itemID="{D6D2DF5B-4DE3-4170-BFB8-9AA41B5FF058}">
  <ds:schemaRefs>
    <ds:schemaRef ds:uri="http://schemas.microsoft.com/office/2006/metadata/contentType"/>
    <ds:schemaRef ds:uri="http://schemas.microsoft.com/office/2006/metadata/properties/metaAttributes"/>
    <ds:schemaRef ds:uri="http://www.w3.org/2000/xmlns/"/>
    <ds:schemaRef ds:uri="http://www.w3.org/2001/XMLSchema"/>
    <ds:schemaRef ds:uri="049755d0-6af7-47d6-a86e-f32f250c9404"/>
    <ds:schemaRef ds:uri="f23b4471-cac0-497a-9892-9527c7fe7576"/>
  </ds:schemaRefs>
</ds:datastoreItem>
</file>

<file path=customXml/itemProps2.xml><?xml version="1.0" encoding="utf-8"?>
<ds:datastoreItem xmlns:ds="http://schemas.openxmlformats.org/officeDocument/2006/customXml" ds:itemID="{9F1CBF3B-218B-46E1-A217-B4EA64E46244}">
  <ds:schemaRefs>
    <ds:schemaRef ds:uri="http://schemas.microsoft.com/sharepoint/v3/contenttype/forms"/>
  </ds:schemaRefs>
</ds:datastoreItem>
</file>

<file path=customXml/itemProps3.xml><?xml version="1.0" encoding="utf-8"?>
<ds:datastoreItem xmlns:ds="http://schemas.openxmlformats.org/officeDocument/2006/customXml" ds:itemID="{A6E9A65D-8FE5-4E7A-B5F3-DA68B7948233}">
  <ds:schemaRefs>
    <ds:schemaRef ds:uri="http://schemas.microsoft.com/office/2006/metadata/properties"/>
    <ds:schemaRef ds:uri="http://www.w3.org/2000/xmlns/"/>
    <ds:schemaRef ds:uri="049755d0-6af7-47d6-a86e-f32f250c9404"/>
    <ds:schemaRef ds:uri="http://www.w3.org/2001/XMLSchema-instance"/>
  </ds:schemaRefs>
</ds:datastoreItem>
</file>

<file path=docMetadata/LabelInfo.xml><?xml version="1.0" encoding="utf-8"?>
<clbl:labelList xmlns:clbl="http://schemas.microsoft.com/office/2020/mipLabelMetadata">
  <clbl:label id="{3ec84e8f-8c1d-4ecc-a417-006e622c2a1d}" enabled="0" method="" siteId="{3ec84e8f-8c1d-4ecc-a417-006e622c2a1d}"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The Cooperative Bank of Kenya</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Muriuki [Investor Relations &amp; Strategy]</dc:creator>
  <cp:keywords/>
  <dc:description/>
  <cp:lastModifiedBy>Francis Ngambi [PA to Group MD &amp; CEO]</cp:lastModifiedBy>
  <cp:revision>2</cp:revision>
  <cp:lastPrinted>2026-03-18T11:59:00Z</cp:lastPrinted>
  <dcterms:created xsi:type="dcterms:W3CDTF">2026-08-12T07:18:00Z</dcterms:created>
  <dcterms:modified xsi:type="dcterms:W3CDTF">2026-08-12T07:18:00Z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0x010100D56384BF6F5F7E4EBA1E3B30E88CB70F</vt:lpwstr>
  </property>
</Properties>
</file>